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88F" w:rsidRPr="00FE2425" w:rsidRDefault="00C6077C" w:rsidP="00FE2425">
      <w:pPr>
        <w:keepNext/>
        <w:keepLines/>
        <w:suppressAutoHyphens/>
        <w:spacing w:line="360" w:lineRule="auto"/>
        <w:jc w:val="center"/>
        <w:textAlignment w:val="baseline"/>
        <w:outlineLvl w:val="0"/>
        <w:rPr>
          <w:rFonts w:eastAsiaTheme="majorEastAsia" w:cstheme="majorBidi"/>
          <w:b/>
          <w:sz w:val="28"/>
          <w:szCs w:val="28"/>
        </w:rPr>
      </w:pPr>
      <w:r w:rsidRPr="00FE2425">
        <w:rPr>
          <w:rFonts w:eastAsiaTheme="majorEastAsia" w:cstheme="majorBidi"/>
          <w:b/>
          <w:sz w:val="28"/>
          <w:szCs w:val="28"/>
        </w:rPr>
        <w:t>Ordin</w:t>
      </w:r>
      <w:r w:rsidR="00435524" w:rsidRPr="00FE2425">
        <w:rPr>
          <w:rFonts w:eastAsiaTheme="majorEastAsia" w:cstheme="majorBidi"/>
          <w:b/>
          <w:sz w:val="28"/>
          <w:szCs w:val="28"/>
        </w:rPr>
        <w:t xml:space="preserve"> nr. </w:t>
      </w:r>
      <w:r w:rsidR="0094609D" w:rsidRPr="00FE2425">
        <w:rPr>
          <w:rFonts w:eastAsiaTheme="majorEastAsia" w:cstheme="majorBidi"/>
          <w:b/>
          <w:sz w:val="28"/>
          <w:szCs w:val="28"/>
        </w:rPr>
        <w:t>__</w:t>
      </w:r>
      <w:r w:rsidR="00CD76CE" w:rsidRPr="00FE2425">
        <w:rPr>
          <w:rFonts w:eastAsiaTheme="majorEastAsia" w:cstheme="majorBidi"/>
          <w:b/>
          <w:sz w:val="28"/>
          <w:szCs w:val="28"/>
        </w:rPr>
        <w:t xml:space="preserve"> </w:t>
      </w:r>
      <w:r w:rsidR="00435524" w:rsidRPr="00FE2425">
        <w:rPr>
          <w:rFonts w:eastAsiaTheme="majorEastAsia" w:cstheme="majorBidi"/>
          <w:b/>
          <w:sz w:val="28"/>
          <w:szCs w:val="28"/>
        </w:rPr>
        <w:t xml:space="preserve">din </w:t>
      </w:r>
      <w:r w:rsidR="0094609D" w:rsidRPr="00FE2425">
        <w:rPr>
          <w:rFonts w:eastAsiaTheme="majorEastAsia" w:cstheme="majorBidi"/>
          <w:b/>
          <w:sz w:val="28"/>
          <w:szCs w:val="28"/>
        </w:rPr>
        <w:t>__/__/____</w:t>
      </w:r>
    </w:p>
    <w:p w:rsidR="00C6077C" w:rsidRPr="007B64E2" w:rsidRDefault="00C6077C" w:rsidP="0051493D">
      <w:pPr>
        <w:spacing w:line="360" w:lineRule="auto"/>
        <w:jc w:val="center"/>
      </w:pPr>
      <w:bookmarkStart w:id="0" w:name="_Hlk140828893"/>
      <w:bookmarkStart w:id="1" w:name="_Hlk154140781"/>
      <w:r w:rsidRPr="007B64E2">
        <w:t>p</w:t>
      </w:r>
      <w:r w:rsidR="00316856">
        <w:t>rivind</w:t>
      </w:r>
      <w:r w:rsidRPr="007B64E2">
        <w:t xml:space="preserve"> modificarea </w:t>
      </w:r>
      <w:r w:rsidR="00C25F48">
        <w:t xml:space="preserve">și completarea </w:t>
      </w:r>
      <w:r w:rsidRPr="007B64E2">
        <w:t>Condi</w:t>
      </w:r>
      <w:r w:rsidR="00EF231C">
        <w:t>ț</w:t>
      </w:r>
      <w:r w:rsidRPr="007B64E2">
        <w:t>iilor</w:t>
      </w:r>
      <w:r w:rsidR="00156398">
        <w:t xml:space="preserve"> </w:t>
      </w:r>
      <w:r w:rsidRPr="007B64E2">
        <w:t>-</w:t>
      </w:r>
      <w:r w:rsidR="00156398">
        <w:t xml:space="preserve"> </w:t>
      </w:r>
      <w:r w:rsidRPr="007B64E2">
        <w:t>cadru pentru realizarea calendarului de implementare a sistemelor de măsurare inteligentă a energiei electrice la nivel na</w:t>
      </w:r>
      <w:r w:rsidR="00EF231C">
        <w:t>ț</w:t>
      </w:r>
      <w:r w:rsidRPr="007B64E2">
        <w:t xml:space="preserve">ional aprobate prin Ordinul președintelui </w:t>
      </w:r>
      <w:r w:rsidR="00C36998" w:rsidRPr="007B64E2">
        <w:t>Autorită</w:t>
      </w:r>
      <w:r w:rsidR="00EF231C">
        <w:t>ț</w:t>
      </w:r>
      <w:r w:rsidR="00C36998" w:rsidRPr="007B64E2">
        <w:t>ii Na</w:t>
      </w:r>
      <w:r w:rsidR="00EF231C">
        <w:t>ț</w:t>
      </w:r>
      <w:r w:rsidR="00C36998" w:rsidRPr="007B64E2">
        <w:t>ionale de Reglementare în Domeniul Energiei</w:t>
      </w:r>
      <w:r w:rsidRPr="007B64E2">
        <w:t xml:space="preserve"> nr. 177/2018</w:t>
      </w:r>
      <w:bookmarkEnd w:id="0"/>
      <w:r w:rsidR="0051493D">
        <w:t xml:space="preserve"> </w:t>
      </w:r>
      <w:bookmarkEnd w:id="1"/>
    </w:p>
    <w:p w:rsidR="00C6077C" w:rsidRPr="00D4214F" w:rsidRDefault="00C6077C" w:rsidP="001F3C42">
      <w:pPr>
        <w:spacing w:line="360" w:lineRule="auto"/>
        <w:jc w:val="both"/>
        <w:rPr>
          <w:sz w:val="16"/>
          <w:szCs w:val="16"/>
        </w:rPr>
      </w:pPr>
    </w:p>
    <w:p w:rsidR="00D61533" w:rsidRPr="00A61005" w:rsidRDefault="00D61533" w:rsidP="001F3C42">
      <w:pPr>
        <w:spacing w:line="360" w:lineRule="auto"/>
        <w:ind w:firstLine="567"/>
        <w:jc w:val="both"/>
        <w:rPr>
          <w:rFonts w:eastAsia="Calibri"/>
          <w:sz w:val="10"/>
          <w:szCs w:val="10"/>
        </w:rPr>
      </w:pPr>
    </w:p>
    <w:p w:rsidR="00B366F9" w:rsidRPr="00B366F9" w:rsidRDefault="00B366F9" w:rsidP="001F3C42">
      <w:pPr>
        <w:spacing w:line="360" w:lineRule="auto"/>
        <w:ind w:firstLine="567"/>
        <w:jc w:val="both"/>
        <w:rPr>
          <w:rFonts w:eastAsia="Calibri"/>
        </w:rPr>
      </w:pPr>
      <w:r w:rsidRPr="00B366F9">
        <w:rPr>
          <w:rFonts w:eastAsia="Calibri"/>
        </w:rPr>
        <w:t xml:space="preserve">Având în vedere prevederile art. 66 din Legea energiei electrice și a gazelor naturale nr. 123/2012, cu modificările și completările ulterioare, </w:t>
      </w:r>
    </w:p>
    <w:p w:rsidR="00B366F9" w:rsidRPr="00B366F9" w:rsidRDefault="00B366F9" w:rsidP="001F3C42">
      <w:pPr>
        <w:suppressAutoHyphens/>
        <w:autoSpaceDN w:val="0"/>
        <w:spacing w:line="360" w:lineRule="auto"/>
        <w:ind w:firstLine="567"/>
        <w:jc w:val="both"/>
        <w:textAlignment w:val="baseline"/>
        <w:rPr>
          <w:rFonts w:eastAsia="Calibri"/>
        </w:rPr>
      </w:pPr>
      <w:r w:rsidRPr="00B366F9">
        <w:rPr>
          <w:rFonts w:eastAsia="Calibri"/>
        </w:rPr>
        <w:t xml:space="preserve">în temeiul </w:t>
      </w:r>
      <w:r w:rsidR="00AE31CB">
        <w:rPr>
          <w:rFonts w:eastAsia="Calibri"/>
        </w:rPr>
        <w:t>dispoziţiilor</w:t>
      </w:r>
      <w:r w:rsidR="004A5B94">
        <w:rPr>
          <w:rFonts w:eastAsia="Calibri"/>
        </w:rPr>
        <w:t xml:space="preserve"> art. 5 alin. (1) lit. c) </w:t>
      </w:r>
      <w:r w:rsidRPr="00B366F9">
        <w:rPr>
          <w:rFonts w:eastAsia="Calibri"/>
        </w:rPr>
        <w:t>din Ordonan</w:t>
      </w:r>
      <w:r w:rsidR="00EF231C">
        <w:rPr>
          <w:rFonts w:eastAsia="Calibri"/>
        </w:rPr>
        <w:t>ț</w:t>
      </w:r>
      <w:r w:rsidRPr="00B366F9">
        <w:rPr>
          <w:rFonts w:eastAsia="Calibri"/>
        </w:rPr>
        <w:t>a de urgen</w:t>
      </w:r>
      <w:r w:rsidR="00EF231C">
        <w:rPr>
          <w:rFonts w:eastAsia="Calibri"/>
        </w:rPr>
        <w:t>ț</w:t>
      </w:r>
      <w:r w:rsidRPr="00B366F9">
        <w:rPr>
          <w:rFonts w:eastAsia="Calibri"/>
        </w:rPr>
        <w:t>ă a Guvernului nr. 33/2007, aprobată cu modificări și completări prin Legea nr. 160/2012, cu modificările și completările ulterioare,</w:t>
      </w:r>
    </w:p>
    <w:p w:rsidR="00B366F9" w:rsidRPr="00D4214F" w:rsidRDefault="00B366F9" w:rsidP="001F3C42">
      <w:pPr>
        <w:suppressAutoHyphens/>
        <w:autoSpaceDN w:val="0"/>
        <w:spacing w:line="360" w:lineRule="auto"/>
        <w:jc w:val="both"/>
        <w:textAlignment w:val="baseline"/>
        <w:rPr>
          <w:rFonts w:eastAsia="Calibri"/>
          <w:sz w:val="16"/>
          <w:szCs w:val="16"/>
        </w:rPr>
      </w:pPr>
    </w:p>
    <w:p w:rsidR="00D61533" w:rsidRPr="00A61005" w:rsidRDefault="00D61533" w:rsidP="003F7038">
      <w:pPr>
        <w:suppressAutoHyphens/>
        <w:autoSpaceDN w:val="0"/>
        <w:spacing w:line="360" w:lineRule="auto"/>
        <w:jc w:val="center"/>
        <w:textAlignment w:val="baseline"/>
        <w:rPr>
          <w:rFonts w:eastAsia="Calibri"/>
          <w:b/>
          <w:sz w:val="10"/>
          <w:szCs w:val="10"/>
        </w:rPr>
      </w:pPr>
    </w:p>
    <w:p w:rsidR="00B366F9" w:rsidRDefault="00B366F9" w:rsidP="003F7038">
      <w:pPr>
        <w:suppressAutoHyphens/>
        <w:autoSpaceDN w:val="0"/>
        <w:spacing w:line="360" w:lineRule="auto"/>
        <w:jc w:val="center"/>
        <w:textAlignment w:val="baseline"/>
        <w:rPr>
          <w:rFonts w:eastAsia="Calibri"/>
          <w:b/>
        </w:rPr>
      </w:pPr>
      <w:r w:rsidRPr="006338DA">
        <w:rPr>
          <w:rFonts w:eastAsia="Calibri"/>
          <w:b/>
        </w:rPr>
        <w:t>președintele Autorită</w:t>
      </w:r>
      <w:r w:rsidR="00EF231C">
        <w:rPr>
          <w:rFonts w:eastAsia="Calibri"/>
          <w:b/>
        </w:rPr>
        <w:t>ț</w:t>
      </w:r>
      <w:r w:rsidRPr="006338DA">
        <w:rPr>
          <w:rFonts w:eastAsia="Calibri"/>
          <w:b/>
        </w:rPr>
        <w:t>ii Na</w:t>
      </w:r>
      <w:r w:rsidR="00EF231C">
        <w:rPr>
          <w:rFonts w:eastAsia="Calibri"/>
          <w:b/>
        </w:rPr>
        <w:t>ț</w:t>
      </w:r>
      <w:r w:rsidRPr="006338DA">
        <w:rPr>
          <w:rFonts w:eastAsia="Calibri"/>
          <w:b/>
        </w:rPr>
        <w:t>ionale de Reglementare în Domeniul Energiei emite prezentul ordin</w:t>
      </w:r>
    </w:p>
    <w:p w:rsidR="00D61533" w:rsidRPr="00A61005" w:rsidRDefault="00D61533" w:rsidP="003F7038">
      <w:pPr>
        <w:suppressAutoHyphens/>
        <w:autoSpaceDN w:val="0"/>
        <w:spacing w:line="360" w:lineRule="auto"/>
        <w:jc w:val="center"/>
        <w:textAlignment w:val="baseline"/>
        <w:rPr>
          <w:rFonts w:eastAsia="Calibri"/>
          <w:b/>
          <w:sz w:val="10"/>
          <w:szCs w:val="10"/>
        </w:rPr>
      </w:pPr>
    </w:p>
    <w:p w:rsidR="00B366F9" w:rsidRPr="00D4214F" w:rsidRDefault="00B366F9" w:rsidP="001F3C42">
      <w:pPr>
        <w:spacing w:line="360" w:lineRule="auto"/>
        <w:jc w:val="both"/>
        <w:rPr>
          <w:sz w:val="16"/>
          <w:szCs w:val="16"/>
        </w:rPr>
      </w:pPr>
    </w:p>
    <w:p w:rsidR="00FD10B0" w:rsidRDefault="00C36998" w:rsidP="001F3C42">
      <w:pPr>
        <w:spacing w:line="360" w:lineRule="auto"/>
        <w:jc w:val="both"/>
      </w:pPr>
      <w:r w:rsidRPr="006338DA">
        <w:rPr>
          <w:rFonts w:eastAsiaTheme="majorEastAsia" w:cstheme="majorBidi"/>
          <w:b/>
        </w:rPr>
        <w:t xml:space="preserve">Art. I </w:t>
      </w:r>
      <w:r w:rsidR="00156398">
        <w:rPr>
          <w:rFonts w:eastAsiaTheme="majorEastAsia" w:cstheme="majorBidi"/>
          <w:b/>
        </w:rPr>
        <w:t>–</w:t>
      </w:r>
      <w:r>
        <w:t xml:space="preserve"> Condi</w:t>
      </w:r>
      <w:r w:rsidR="00EF231C">
        <w:t>ț</w:t>
      </w:r>
      <w:r>
        <w:t>iile</w:t>
      </w:r>
      <w:r w:rsidR="00156398">
        <w:t xml:space="preserve"> </w:t>
      </w:r>
      <w:r>
        <w:t>-</w:t>
      </w:r>
      <w:r w:rsidR="00156398">
        <w:t xml:space="preserve"> </w:t>
      </w:r>
      <w:r>
        <w:t xml:space="preserve">cadru </w:t>
      </w:r>
      <w:r w:rsidRPr="00C36998">
        <w:t>pentru realizarea calendarului de implementare a sistemelor de măsurare inteligentă a energiei electrice la nivel na</w:t>
      </w:r>
      <w:r w:rsidR="00EF231C">
        <w:t>ț</w:t>
      </w:r>
      <w:r w:rsidRPr="00C36998">
        <w:t>ional</w:t>
      </w:r>
      <w:r w:rsidR="00AE31CB">
        <w:t>,</w:t>
      </w:r>
      <w:r w:rsidRPr="00C36998">
        <w:t xml:space="preserve"> aprobate prin Ordinul președintelui A</w:t>
      </w:r>
      <w:r>
        <w:t>utorită</w:t>
      </w:r>
      <w:r w:rsidR="00EF231C">
        <w:t>ț</w:t>
      </w:r>
      <w:r>
        <w:t xml:space="preserve">ii </w:t>
      </w:r>
      <w:r w:rsidRPr="00C36998">
        <w:t>N</w:t>
      </w:r>
      <w:r>
        <w:t>a</w:t>
      </w:r>
      <w:r w:rsidR="00EF231C">
        <w:t>ț</w:t>
      </w:r>
      <w:r>
        <w:t xml:space="preserve">ionale de </w:t>
      </w:r>
      <w:r w:rsidRPr="00C36998">
        <w:t>R</w:t>
      </w:r>
      <w:r>
        <w:t xml:space="preserve">eglementare în Domeniul </w:t>
      </w:r>
      <w:r w:rsidRPr="00C36998">
        <w:t>E</w:t>
      </w:r>
      <w:r>
        <w:t>nergiei</w:t>
      </w:r>
      <w:r w:rsidRPr="00C36998">
        <w:t xml:space="preserve"> nr. 177/2018</w:t>
      </w:r>
      <w:r>
        <w:t xml:space="preserve">, </w:t>
      </w:r>
      <w:r w:rsidR="00593E14">
        <w:t>publicat</w:t>
      </w:r>
      <w:r w:rsidRPr="00C36998">
        <w:t xml:space="preserve"> în Monitorul Oficial al României, Partea I, nr. </w:t>
      </w:r>
      <w:r>
        <w:t>866</w:t>
      </w:r>
      <w:r w:rsidRPr="00C36998">
        <w:t xml:space="preserve"> din </w:t>
      </w:r>
      <w:r>
        <w:t>1</w:t>
      </w:r>
      <w:r w:rsidRPr="00C36998">
        <w:t xml:space="preserve">2 </w:t>
      </w:r>
      <w:r>
        <w:t>octo</w:t>
      </w:r>
      <w:r w:rsidR="00DF21D4">
        <w:t>mbrie 2018</w:t>
      </w:r>
      <w:r w:rsidR="006B4C73">
        <w:t>,</w:t>
      </w:r>
      <w:r>
        <w:t xml:space="preserve"> </w:t>
      </w:r>
      <w:r w:rsidR="00E87CA8">
        <w:t xml:space="preserve">cu modificările și completările ulterioare, </w:t>
      </w:r>
      <w:r>
        <w:t xml:space="preserve">se modifică </w:t>
      </w:r>
      <w:r w:rsidR="00C25F48">
        <w:t xml:space="preserve">și se completează </w:t>
      </w:r>
      <w:r>
        <w:t>după cum urmează:</w:t>
      </w:r>
    </w:p>
    <w:p w:rsidR="00B325C4" w:rsidRDefault="00B325C4" w:rsidP="008E1466">
      <w:pPr>
        <w:pStyle w:val="ListParagraph"/>
        <w:numPr>
          <w:ilvl w:val="0"/>
          <w:numId w:val="25"/>
        </w:numPr>
        <w:spacing w:line="360" w:lineRule="auto"/>
        <w:jc w:val="both"/>
      </w:pPr>
      <w:r>
        <w:t xml:space="preserve">La articolul 3, alineatul (2), se introduce o </w:t>
      </w:r>
      <w:r w:rsidR="00F15483">
        <w:t xml:space="preserve">nouă </w:t>
      </w:r>
      <w:r>
        <w:t>literă, litera h</w:t>
      </w:r>
      <w:r w:rsidRPr="00B325C4">
        <w:rPr>
          <w:vertAlign w:val="superscript"/>
        </w:rPr>
        <w:t>1</w:t>
      </w:r>
      <w:r>
        <w:t>, care va avea următorul cuprins:</w:t>
      </w:r>
    </w:p>
    <w:p w:rsidR="00B325C4" w:rsidRDefault="00B325C4" w:rsidP="008E1466">
      <w:pPr>
        <w:pStyle w:val="ListParagraph"/>
        <w:spacing w:line="360" w:lineRule="auto"/>
        <w:jc w:val="both"/>
      </w:pPr>
      <w:r>
        <w:t>„h</w:t>
      </w:r>
      <w:r w:rsidRPr="00B325C4">
        <w:rPr>
          <w:vertAlign w:val="superscript"/>
        </w:rPr>
        <w:t>1</w:t>
      </w:r>
      <w:r>
        <w:t xml:space="preserve">) PLC – Power Line Communication – tehnologie de comunicație care utilizează </w:t>
      </w:r>
      <w:r w:rsidR="007A673C">
        <w:t>reţeaua de energie electrică</w:t>
      </w:r>
      <w:r>
        <w:t xml:space="preserve"> existentă pentru transmisia de date;”</w:t>
      </w:r>
    </w:p>
    <w:p w:rsidR="005D1B7F" w:rsidRDefault="005D1B7F" w:rsidP="00163450">
      <w:pPr>
        <w:pStyle w:val="ListParagraph"/>
        <w:numPr>
          <w:ilvl w:val="0"/>
          <w:numId w:val="25"/>
        </w:numPr>
        <w:spacing w:before="120" w:after="240" w:line="360" w:lineRule="auto"/>
        <w:ind w:left="714" w:hanging="357"/>
        <w:jc w:val="both"/>
      </w:pPr>
      <w:r>
        <w:t>La articolul 4, alineatul (2) se modifică și va avea următorul cuprins:</w:t>
      </w:r>
    </w:p>
    <w:p w:rsidR="004A6954" w:rsidRDefault="005D1B7F" w:rsidP="004A6954">
      <w:pPr>
        <w:pStyle w:val="ListParagraph"/>
        <w:spacing w:before="120" w:after="240" w:line="360" w:lineRule="auto"/>
        <w:jc w:val="both"/>
      </w:pPr>
      <w:r>
        <w:t>„</w:t>
      </w:r>
      <w:r w:rsidRPr="005D1B7F">
        <w:t xml:space="preserve">(2) </w:t>
      </w:r>
      <w:r w:rsidR="009B1C42" w:rsidRPr="009B1C42">
        <w:t xml:space="preserve">Planurile de implementare a SMI pentru fiecare zonă de concesiune a </w:t>
      </w:r>
      <w:r w:rsidR="00FA3004">
        <w:t>serviciului de distribuţie energie electrică</w:t>
      </w:r>
      <w:r w:rsidR="009B1C42" w:rsidRPr="009B1C42">
        <w:t xml:space="preserve"> cuprind distribuția anuală a valorii investiţiilor necesare, sursele de finanţare aferente, numărul de locuri de consum/de producere și consum planificate pentru integrare în SMI </w:t>
      </w:r>
      <w:r w:rsidR="007A673C">
        <w:t xml:space="preserve">în fiecare an </w:t>
      </w:r>
      <w:r w:rsidR="009B1C42" w:rsidRPr="009B1C42">
        <w:t>şi procentul aferent acestora din numărul total de locuri de consum/de producere și consum din zona de concesiune.</w:t>
      </w:r>
      <w:r>
        <w:t>”</w:t>
      </w:r>
    </w:p>
    <w:p w:rsidR="004A6954" w:rsidRDefault="004A6954" w:rsidP="00163450">
      <w:pPr>
        <w:pStyle w:val="ListParagraph"/>
        <w:numPr>
          <w:ilvl w:val="0"/>
          <w:numId w:val="25"/>
        </w:numPr>
        <w:spacing w:before="120" w:after="240" w:line="360" w:lineRule="auto"/>
        <w:ind w:left="714" w:hanging="357"/>
        <w:jc w:val="both"/>
      </w:pPr>
      <w:r>
        <w:t>La articolul 5, litera b) se modifică și va avea următorul cuprins:</w:t>
      </w:r>
    </w:p>
    <w:p w:rsidR="009B1C42" w:rsidRDefault="004A6954" w:rsidP="009B1C42">
      <w:pPr>
        <w:pStyle w:val="ListParagraph"/>
        <w:spacing w:before="120" w:after="240" w:line="360" w:lineRule="auto"/>
        <w:jc w:val="both"/>
      </w:pPr>
      <w:r>
        <w:t>„</w:t>
      </w:r>
      <w:r w:rsidRPr="004A6954">
        <w:t>b)</w:t>
      </w:r>
      <w:r w:rsidR="00610115">
        <w:t xml:space="preserve"> </w:t>
      </w:r>
      <w:r w:rsidR="009B1C42">
        <w:t>subsistemul de comunicaţie, care asigură legătura dintre:</w:t>
      </w:r>
    </w:p>
    <w:p w:rsidR="009B1C42" w:rsidRDefault="009B1C42" w:rsidP="006B19FC">
      <w:pPr>
        <w:pStyle w:val="ListParagraph"/>
        <w:spacing w:before="120" w:after="240" w:line="360" w:lineRule="auto"/>
        <w:ind w:left="1418"/>
        <w:jc w:val="both"/>
      </w:pPr>
      <w:r>
        <w:t xml:space="preserve">i) subsistemul de măsurare şi sistemele tranzacţionale de colectare şi validare a datelor (HES) din cadrul sistemului central administrat de OD, </w:t>
      </w:r>
    </w:p>
    <w:p w:rsidR="009B1C42" w:rsidRDefault="009B1C42" w:rsidP="006B19FC">
      <w:pPr>
        <w:pStyle w:val="ListParagraph"/>
        <w:spacing w:before="120" w:after="240" w:line="360" w:lineRule="auto"/>
        <w:ind w:left="1418"/>
        <w:jc w:val="both"/>
      </w:pPr>
      <w:r>
        <w:lastRenderedPageBreak/>
        <w:t>ii) subsistemul de măsurare şi aparate</w:t>
      </w:r>
      <w:r w:rsidR="007A673C">
        <w:t>le</w:t>
      </w:r>
      <w:r>
        <w:t>/echipamente</w:t>
      </w:r>
      <w:r w:rsidR="007A673C">
        <w:t>le</w:t>
      </w:r>
      <w:r>
        <w:t>/dispozitive</w:t>
      </w:r>
      <w:r w:rsidR="007A673C">
        <w:t>le</w:t>
      </w:r>
      <w:r>
        <w:t xml:space="preserve"> de colectare, prelucare și stocare a datelor sau de transmitere la distanță, localizate în </w:t>
      </w:r>
      <w:r w:rsidR="002D0422">
        <w:t>imediata vecinătate a</w:t>
      </w:r>
      <w:r>
        <w:t xml:space="preserve"> locului de consum/de producere și consum. </w:t>
      </w:r>
    </w:p>
    <w:p w:rsidR="009B1C42" w:rsidRDefault="009B1C42" w:rsidP="009B1C42">
      <w:pPr>
        <w:pStyle w:val="ListParagraph"/>
        <w:spacing w:before="120" w:after="240" w:line="360" w:lineRule="auto"/>
        <w:jc w:val="both"/>
      </w:pPr>
      <w:r>
        <w:t xml:space="preserve">Subsistemul de comunicație este compus din: module de comunicaţie, linii/căi de comunicaţie pentru transmiterea datelor, concentratoare de date, dispozitive auxiliare pentru transmiterea datelor (repetoare, amplificatoare de semnal, filtre, routere etc.). </w:t>
      </w:r>
    </w:p>
    <w:p w:rsidR="004A6954" w:rsidRDefault="009B1C42" w:rsidP="009B1C42">
      <w:pPr>
        <w:pStyle w:val="ListParagraph"/>
        <w:spacing w:before="120" w:after="240" w:line="360" w:lineRule="auto"/>
        <w:jc w:val="both"/>
      </w:pPr>
      <w:r>
        <w:t>Comunicaţia între subsistemul de măsurare şi sistemele tranzacţionale de colectare şi validare a datelor</w:t>
      </w:r>
      <w:r w:rsidR="007E7346">
        <w:t xml:space="preserve"> (HES)</w:t>
      </w:r>
      <w:r>
        <w:t xml:space="preserve"> se va realiza bidirecţional, atât în regim automat, cât şi prin comenzi </w:t>
      </w:r>
      <w:r w:rsidR="007E7346">
        <w:t>«</w:t>
      </w:r>
      <w:r>
        <w:t>la cerere</w:t>
      </w:r>
      <w:r w:rsidR="007E7346">
        <w:t>»</w:t>
      </w:r>
      <w:r>
        <w:t>;</w:t>
      </w:r>
      <w:r w:rsidR="004A6954">
        <w:t>”</w:t>
      </w:r>
    </w:p>
    <w:p w:rsidR="00610115" w:rsidRDefault="00610115" w:rsidP="00163450">
      <w:pPr>
        <w:pStyle w:val="ListParagraph"/>
        <w:numPr>
          <w:ilvl w:val="0"/>
          <w:numId w:val="25"/>
        </w:numPr>
        <w:spacing w:before="120" w:after="240" w:line="360" w:lineRule="auto"/>
        <w:ind w:left="714" w:hanging="357"/>
        <w:jc w:val="both"/>
      </w:pPr>
      <w:r>
        <w:t>La articolul 8, alineatul (</w:t>
      </w:r>
      <w:r w:rsidR="009B1C42">
        <w:t>5</w:t>
      </w:r>
      <w:r>
        <w:t>) se</w:t>
      </w:r>
      <w:r w:rsidRPr="00610115">
        <w:t xml:space="preserve"> modifică și va avea următorul cuprins:</w:t>
      </w:r>
    </w:p>
    <w:p w:rsidR="00610115" w:rsidRDefault="00610115" w:rsidP="00610115">
      <w:pPr>
        <w:pStyle w:val="ListParagraph"/>
        <w:spacing w:before="120" w:after="240" w:line="360" w:lineRule="auto"/>
        <w:jc w:val="both"/>
      </w:pPr>
      <w:r>
        <w:t>„</w:t>
      </w:r>
      <w:r w:rsidRPr="00610115">
        <w:t>(</w:t>
      </w:r>
      <w:r w:rsidR="009B1C42">
        <w:t>5</w:t>
      </w:r>
      <w:r w:rsidRPr="00610115">
        <w:t>)</w:t>
      </w:r>
      <w:r w:rsidR="009B1C42">
        <w:t xml:space="preserve"> </w:t>
      </w:r>
      <w:r w:rsidR="00C224A5" w:rsidRPr="00C224A5">
        <w:t>Informarea prevăzută la alin. (4) se realizează prin transmiterea anexei nr. 7 «Condiţii specifice ale locului de consum/de producere şi consum integrat în sistemul de măsurare inteligentă a energiei electrice» care face parte integrantă din prezentele condiţii</w:t>
      </w:r>
      <w:r w:rsidR="00AA4521">
        <w:t xml:space="preserve"> </w:t>
      </w:r>
      <w:r w:rsidR="00C224A5" w:rsidRPr="00C224A5">
        <w:t>-</w:t>
      </w:r>
      <w:r w:rsidR="00AA4521">
        <w:t xml:space="preserve"> </w:t>
      </w:r>
      <w:r w:rsidR="00C224A5" w:rsidRPr="00C224A5">
        <w:t>cadru, de către furnizorul cu care utilizatorul locului de consum/de producere și consum are un contract de furnizare a energiei electrice în vigoare. Transmiterea anexei se face odată cu prima factură pentru consumul de energie electrică emisă după primirea de către furnizor a comunicării prevăzut</w:t>
      </w:r>
      <w:r w:rsidR="004C56A0">
        <w:t>e</w:t>
      </w:r>
      <w:r w:rsidR="00C224A5" w:rsidRPr="00C224A5">
        <w:t xml:space="preserve"> la art. 19 din </w:t>
      </w:r>
      <w:r w:rsidR="004C56A0">
        <w:t xml:space="preserve">prezentele </w:t>
      </w:r>
      <w:r w:rsidR="00C224A5" w:rsidRPr="00C224A5">
        <w:t>condiții</w:t>
      </w:r>
      <w:r w:rsidR="002D0422">
        <w:t xml:space="preserve"> </w:t>
      </w:r>
      <w:r w:rsidR="00C224A5" w:rsidRPr="00C224A5">
        <w:t>-</w:t>
      </w:r>
      <w:r w:rsidR="002D0422">
        <w:t xml:space="preserve"> </w:t>
      </w:r>
      <w:r w:rsidR="00C224A5" w:rsidRPr="00C224A5">
        <w:t>cadru.</w:t>
      </w:r>
      <w:r>
        <w:t>”</w:t>
      </w:r>
    </w:p>
    <w:p w:rsidR="00F721F0" w:rsidRDefault="00B43F24" w:rsidP="00163450">
      <w:pPr>
        <w:pStyle w:val="ListParagraph"/>
        <w:numPr>
          <w:ilvl w:val="0"/>
          <w:numId w:val="25"/>
        </w:numPr>
        <w:spacing w:before="120" w:after="240" w:line="360" w:lineRule="auto"/>
        <w:ind w:left="714" w:hanging="357"/>
        <w:jc w:val="both"/>
      </w:pPr>
      <w:r>
        <w:t>După</w:t>
      </w:r>
      <w:r w:rsidR="00F721F0">
        <w:t xml:space="preserve"> articolul </w:t>
      </w:r>
      <w:r w:rsidR="00FB7938">
        <w:t>9</w:t>
      </w:r>
      <w:r w:rsidR="00AE31CB">
        <w:t xml:space="preserve"> </w:t>
      </w:r>
      <w:r w:rsidR="005E17CB">
        <w:t xml:space="preserve">se introduce un nou </w:t>
      </w:r>
      <w:r>
        <w:t>articol</w:t>
      </w:r>
      <w:r w:rsidR="00D55CC1">
        <w:t>,</w:t>
      </w:r>
      <w:r w:rsidR="005E17CB">
        <w:t xml:space="preserve"> </w:t>
      </w:r>
      <w:r>
        <w:t>articolul 9</w:t>
      </w:r>
      <w:r w:rsidRPr="00B43F24">
        <w:rPr>
          <w:vertAlign w:val="superscript"/>
        </w:rPr>
        <w:t>1</w:t>
      </w:r>
      <w:r w:rsidR="00AE31CB">
        <w:t xml:space="preserve">, </w:t>
      </w:r>
      <w:r w:rsidR="005E17CB">
        <w:t>care</w:t>
      </w:r>
      <w:r w:rsidR="00FB7938">
        <w:t xml:space="preserve"> va avea</w:t>
      </w:r>
      <w:r w:rsidR="00F721F0">
        <w:t xml:space="preserve"> următorul cuprins:</w:t>
      </w:r>
    </w:p>
    <w:p w:rsidR="00810CF8" w:rsidRDefault="00810CF8" w:rsidP="001F3C42">
      <w:pPr>
        <w:pStyle w:val="ListParagraph"/>
        <w:spacing w:before="120" w:after="240" w:line="360" w:lineRule="auto"/>
        <w:ind w:left="714"/>
        <w:jc w:val="both"/>
      </w:pPr>
      <w:r>
        <w:t>„</w:t>
      </w:r>
      <w:r w:rsidR="004C56A0">
        <w:t>Art. 9</w:t>
      </w:r>
      <w:r w:rsidR="004C56A0">
        <w:rPr>
          <w:vertAlign w:val="superscript"/>
        </w:rPr>
        <w:t>1</w:t>
      </w:r>
      <w:r w:rsidR="004C56A0">
        <w:t xml:space="preserve"> - </w:t>
      </w:r>
      <w:r>
        <w:t>(</w:t>
      </w:r>
      <w:r w:rsidRPr="00834ED2">
        <w:t>1</w:t>
      </w:r>
      <w:r>
        <w:t>)</w:t>
      </w:r>
      <w:r w:rsidRPr="00834ED2">
        <w:t xml:space="preserve"> </w:t>
      </w:r>
      <w:r w:rsidR="004C56A0">
        <w:t>I</w:t>
      </w:r>
      <w:r w:rsidRPr="00834ED2">
        <w:t xml:space="preserve">mplementarea SMI se realizează </w:t>
      </w:r>
      <w:r>
        <w:t>numai</w:t>
      </w:r>
      <w:r w:rsidRPr="00834ED2">
        <w:t xml:space="preserve"> în rețele modernizate, retehnologizate sau aflate într-o </w:t>
      </w:r>
      <w:r w:rsidR="00921C33">
        <w:t>stare</w:t>
      </w:r>
      <w:r w:rsidR="00921C33" w:rsidRPr="00834ED2">
        <w:t xml:space="preserve"> </w:t>
      </w:r>
      <w:r w:rsidRPr="00834ED2">
        <w:t xml:space="preserve">tehnică </w:t>
      </w:r>
      <w:r w:rsidR="00921C33">
        <w:t xml:space="preserve">suficient de bună, </w:t>
      </w:r>
      <w:r w:rsidRPr="00834ED2">
        <w:t xml:space="preserve">care permite realizarea comunicației de date prin tehnologia PLC la un nivel de acuratețe și fiabilitate astfel încât să se asigure </w:t>
      </w:r>
      <w:r>
        <w:t>realizarea</w:t>
      </w:r>
      <w:r w:rsidRPr="00834ED2">
        <w:t xml:space="preserve"> funcționalităților prevăzute</w:t>
      </w:r>
      <w:r w:rsidR="0014378D">
        <w:t xml:space="preserve"> în Anexa nr. 2 la prezentele condiţii</w:t>
      </w:r>
      <w:r w:rsidR="0020155D">
        <w:t xml:space="preserve"> </w:t>
      </w:r>
      <w:r w:rsidR="0014378D">
        <w:t>-</w:t>
      </w:r>
      <w:r w:rsidR="0020155D">
        <w:t xml:space="preserve"> </w:t>
      </w:r>
      <w:r w:rsidR="0014378D">
        <w:t>cadru</w:t>
      </w:r>
      <w:r w:rsidR="00ED795D">
        <w:t xml:space="preserve"> şi </w:t>
      </w:r>
      <w:r w:rsidR="0014378D">
        <w:t xml:space="preserve">încadrarea indicatorilor </w:t>
      </w:r>
      <w:r w:rsidR="00921C33">
        <w:t xml:space="preserve">de performanţă a implementării SMI </w:t>
      </w:r>
      <w:r w:rsidR="0014378D">
        <w:t>în limitele prevăzute de prezentele condiţii</w:t>
      </w:r>
      <w:r w:rsidR="0020155D">
        <w:t xml:space="preserve"> </w:t>
      </w:r>
      <w:r w:rsidR="0014378D">
        <w:t>-</w:t>
      </w:r>
      <w:r w:rsidR="0020155D">
        <w:t xml:space="preserve"> </w:t>
      </w:r>
      <w:r w:rsidR="0014378D">
        <w:t>cadru.</w:t>
      </w:r>
      <w:r>
        <w:t xml:space="preserve"> </w:t>
      </w:r>
    </w:p>
    <w:p w:rsidR="00F721F0" w:rsidRDefault="00B43F24" w:rsidP="001F3C42">
      <w:pPr>
        <w:pStyle w:val="ListParagraph"/>
        <w:spacing w:before="120" w:after="240" w:line="360" w:lineRule="auto"/>
        <w:ind w:left="714"/>
        <w:jc w:val="both"/>
      </w:pPr>
      <w:r>
        <w:t>(2)</w:t>
      </w:r>
      <w:r w:rsidR="00FB7938" w:rsidRPr="00FB7938">
        <w:t xml:space="preserve"> </w:t>
      </w:r>
      <w:r w:rsidR="003E3104">
        <w:t xml:space="preserve">Introducerea în planurile de investiţii a lucrărilor de </w:t>
      </w:r>
      <w:r w:rsidR="00FB7938" w:rsidRPr="00FB7938">
        <w:t xml:space="preserve">implementare SMI </w:t>
      </w:r>
      <w:r w:rsidR="003E3104">
        <w:t xml:space="preserve">este condiţionată de verificarea </w:t>
      </w:r>
      <w:r w:rsidR="002F420C">
        <w:t xml:space="preserve">de către OD a </w:t>
      </w:r>
      <w:r w:rsidR="003E3104">
        <w:t>condiţiilor tehnice în care se află reţelele şi, dacă este cazul</w:t>
      </w:r>
      <w:r w:rsidR="005E17CB">
        <w:t>,</w:t>
      </w:r>
      <w:r w:rsidR="003E3104">
        <w:t xml:space="preserve"> de efectuarea lucrărilor necesare</w:t>
      </w:r>
      <w:r w:rsidR="00D55CC1">
        <w:t>,</w:t>
      </w:r>
      <w:r w:rsidR="003E3104">
        <w:t xml:space="preserve"> astfel încât</w:t>
      </w:r>
      <w:r w:rsidR="00FB7938" w:rsidRPr="00FB7938">
        <w:t xml:space="preserve"> </w:t>
      </w:r>
      <w:r w:rsidR="00D4011A">
        <w:t xml:space="preserve">starea tehnică a </w:t>
      </w:r>
      <w:r w:rsidR="00FB7938" w:rsidRPr="00FB7938">
        <w:t>rețele</w:t>
      </w:r>
      <w:r w:rsidR="003E3104">
        <w:t>l</w:t>
      </w:r>
      <w:r w:rsidR="00D4011A">
        <w:t>or</w:t>
      </w:r>
      <w:r w:rsidR="00B81D3D">
        <w:t xml:space="preserve"> </w:t>
      </w:r>
      <w:r w:rsidR="003E3104">
        <w:t xml:space="preserve">în care se implementează SMI </w:t>
      </w:r>
      <w:r w:rsidR="00D4011A">
        <w:t xml:space="preserve">să </w:t>
      </w:r>
      <w:r w:rsidR="0042062E">
        <w:t xml:space="preserve">îndeplinească cerințele prevăzute la </w:t>
      </w:r>
      <w:r w:rsidR="00F15483">
        <w:t>alineatul</w:t>
      </w:r>
      <w:r w:rsidR="0042062E">
        <w:t xml:space="preserve"> </w:t>
      </w:r>
      <w:r w:rsidR="00F15483">
        <w:t>(</w:t>
      </w:r>
      <w:r w:rsidR="0042062E">
        <w:t>1</w:t>
      </w:r>
      <w:r w:rsidR="00F15483">
        <w:t>)</w:t>
      </w:r>
      <w:r w:rsidR="002F420C">
        <w:t>.</w:t>
      </w:r>
      <w:r w:rsidR="00F721F0">
        <w:t>”</w:t>
      </w:r>
    </w:p>
    <w:p w:rsidR="00897F68" w:rsidRDefault="00715E13" w:rsidP="00163450">
      <w:pPr>
        <w:pStyle w:val="ListParagraph"/>
        <w:numPr>
          <w:ilvl w:val="0"/>
          <w:numId w:val="25"/>
        </w:numPr>
        <w:spacing w:before="120" w:after="240" w:line="360" w:lineRule="auto"/>
        <w:ind w:left="714" w:hanging="357"/>
        <w:jc w:val="both"/>
      </w:pPr>
      <w:r>
        <w:t>La a</w:t>
      </w:r>
      <w:r w:rsidR="002968FA">
        <w:t>r</w:t>
      </w:r>
      <w:r w:rsidR="00897F68">
        <w:t xml:space="preserve">ticolul </w:t>
      </w:r>
      <w:r w:rsidR="00F86885">
        <w:t>11</w:t>
      </w:r>
      <w:r>
        <w:t xml:space="preserve">, </w:t>
      </w:r>
      <w:r w:rsidR="007F22C9">
        <w:t xml:space="preserve">după </w:t>
      </w:r>
      <w:r>
        <w:t>alineat</w:t>
      </w:r>
      <w:r w:rsidR="007F22C9">
        <w:t>ul</w:t>
      </w:r>
      <w:r>
        <w:t xml:space="preserve"> (</w:t>
      </w:r>
      <w:r w:rsidR="00F86885">
        <w:t>2</w:t>
      </w:r>
      <w:r>
        <w:t>)</w:t>
      </w:r>
      <w:r w:rsidR="00694BCE">
        <w:t xml:space="preserve"> </w:t>
      </w:r>
      <w:r w:rsidR="007F22C9">
        <w:t xml:space="preserve">se introduce un nou alineat, alineatul </w:t>
      </w:r>
      <w:r w:rsidR="00F15483">
        <w:t>(</w:t>
      </w:r>
      <w:r w:rsidR="007F22C9">
        <w:t>2</w:t>
      </w:r>
      <w:r w:rsidR="007F22C9" w:rsidRPr="007F22C9">
        <w:rPr>
          <w:vertAlign w:val="superscript"/>
        </w:rPr>
        <w:t>1</w:t>
      </w:r>
      <w:r w:rsidR="00F15483">
        <w:t>)</w:t>
      </w:r>
      <w:r w:rsidR="007F22C9">
        <w:t>, care va</w:t>
      </w:r>
      <w:r w:rsidR="00F86885">
        <w:t xml:space="preserve"> avea</w:t>
      </w:r>
      <w:r w:rsidR="00897F68">
        <w:t xml:space="preserve"> următorul cuprins:</w:t>
      </w:r>
    </w:p>
    <w:p w:rsidR="00897F68" w:rsidRDefault="0051493D" w:rsidP="008E1466">
      <w:pPr>
        <w:spacing w:line="360" w:lineRule="auto"/>
        <w:ind w:left="709"/>
        <w:jc w:val="both"/>
        <w:rPr>
          <w:rFonts w:eastAsia="Calibri"/>
        </w:rPr>
      </w:pPr>
      <w:r w:rsidRPr="0051493D">
        <w:rPr>
          <w:rFonts w:eastAsia="Calibri"/>
        </w:rPr>
        <w:t>„</w:t>
      </w:r>
      <w:r w:rsidR="00F86885" w:rsidRPr="00F86885">
        <w:rPr>
          <w:rFonts w:eastAsia="Calibri"/>
        </w:rPr>
        <w:t>(2</w:t>
      </w:r>
      <w:r w:rsidR="007F22C9" w:rsidRPr="007F22C9">
        <w:rPr>
          <w:rFonts w:eastAsia="Calibri"/>
          <w:vertAlign w:val="superscript"/>
        </w:rPr>
        <w:t>1</w:t>
      </w:r>
      <w:r w:rsidR="00F86885" w:rsidRPr="00F86885">
        <w:rPr>
          <w:rFonts w:eastAsia="Calibri"/>
        </w:rPr>
        <w:t xml:space="preserve">) Rapoartele prevăzute la alin. (1) </w:t>
      </w:r>
      <w:r w:rsidR="007F22C9">
        <w:rPr>
          <w:rFonts w:eastAsia="Calibri"/>
        </w:rPr>
        <w:t>sunt însoțite de</w:t>
      </w:r>
      <w:r w:rsidR="00D9067C">
        <w:rPr>
          <w:rFonts w:eastAsia="Calibri"/>
        </w:rPr>
        <w:t xml:space="preserve"> o analiză </w:t>
      </w:r>
      <w:r w:rsidR="0042062E">
        <w:rPr>
          <w:rFonts w:eastAsia="Calibri"/>
        </w:rPr>
        <w:t>în care se detaliază</w:t>
      </w:r>
      <w:r w:rsidR="007E5381">
        <w:rPr>
          <w:rFonts w:eastAsia="Calibri"/>
        </w:rPr>
        <w:t>, dacă este cazul</w:t>
      </w:r>
      <w:r w:rsidR="002D0422">
        <w:rPr>
          <w:rFonts w:eastAsia="Calibri"/>
        </w:rPr>
        <w:t>,</w:t>
      </w:r>
      <w:r w:rsidR="00F86885" w:rsidRPr="00F86885">
        <w:rPr>
          <w:rFonts w:eastAsia="Calibri"/>
        </w:rPr>
        <w:t xml:space="preserve"> cauzele</w:t>
      </w:r>
      <w:r w:rsidR="00790DD0">
        <w:rPr>
          <w:rFonts w:eastAsia="Calibri"/>
        </w:rPr>
        <w:t xml:space="preserve"> și</w:t>
      </w:r>
      <w:r w:rsidR="00790DD0" w:rsidRPr="00F86885">
        <w:rPr>
          <w:rFonts w:eastAsia="Calibri"/>
        </w:rPr>
        <w:t xml:space="preserve"> </w:t>
      </w:r>
      <w:r w:rsidR="00F86885" w:rsidRPr="00F86885">
        <w:rPr>
          <w:rFonts w:eastAsia="Calibri"/>
        </w:rPr>
        <w:t>condițiile care au condus la rezultate</w:t>
      </w:r>
      <w:r w:rsidR="007F22C9">
        <w:rPr>
          <w:rFonts w:eastAsia="Calibri"/>
        </w:rPr>
        <w:t>le înregistrate în perioada de raportare</w:t>
      </w:r>
      <w:r w:rsidR="0042062E">
        <w:rPr>
          <w:rFonts w:eastAsia="Calibri"/>
        </w:rPr>
        <w:t xml:space="preserve">, </w:t>
      </w:r>
      <w:r w:rsidR="00587E43">
        <w:rPr>
          <w:rFonts w:eastAsia="Calibri"/>
        </w:rPr>
        <w:t>problemele și dificultățile întâmpinate</w:t>
      </w:r>
      <w:r w:rsidR="00982DA9">
        <w:rPr>
          <w:rFonts w:eastAsia="Calibri"/>
        </w:rPr>
        <w:t xml:space="preserve"> în procesul de implementare SMI în perioada de raportare</w:t>
      </w:r>
      <w:r w:rsidR="007F22C9">
        <w:rPr>
          <w:rFonts w:eastAsia="Calibri"/>
        </w:rPr>
        <w:t xml:space="preserve">, </w:t>
      </w:r>
      <w:r w:rsidR="007E5381">
        <w:rPr>
          <w:rFonts w:eastAsia="Calibri"/>
        </w:rPr>
        <w:lastRenderedPageBreak/>
        <w:t>concluziile</w:t>
      </w:r>
      <w:r w:rsidR="00D9067C">
        <w:rPr>
          <w:rFonts w:eastAsia="Calibri"/>
        </w:rPr>
        <w:t xml:space="preserve"> şi măsuri</w:t>
      </w:r>
      <w:r w:rsidR="007E5381">
        <w:rPr>
          <w:rFonts w:eastAsia="Calibri"/>
        </w:rPr>
        <w:t>le</w:t>
      </w:r>
      <w:r w:rsidR="00D9067C">
        <w:rPr>
          <w:rFonts w:eastAsia="Calibri"/>
        </w:rPr>
        <w:t xml:space="preserve"> </w:t>
      </w:r>
      <w:r w:rsidR="00982DA9">
        <w:rPr>
          <w:rFonts w:eastAsia="Calibri"/>
        </w:rPr>
        <w:t xml:space="preserve">care urmează să fie aplicate în perioada următoare </w:t>
      </w:r>
      <w:r w:rsidR="00D9067C">
        <w:rPr>
          <w:rFonts w:eastAsia="Calibri"/>
        </w:rPr>
        <w:t xml:space="preserve">pentru ajustarea/corectarea </w:t>
      </w:r>
      <w:r w:rsidR="00F57881">
        <w:rPr>
          <w:rFonts w:eastAsia="Calibri"/>
        </w:rPr>
        <w:t>deficiențelor</w:t>
      </w:r>
      <w:r w:rsidR="00982DA9">
        <w:rPr>
          <w:rFonts w:eastAsia="Calibri"/>
        </w:rPr>
        <w:t>/problemelor întâmpinate</w:t>
      </w:r>
      <w:r w:rsidR="00F86885" w:rsidRPr="00F86885">
        <w:rPr>
          <w:rFonts w:eastAsia="Calibri"/>
        </w:rPr>
        <w:t>.</w:t>
      </w:r>
      <w:r w:rsidRPr="0051493D">
        <w:rPr>
          <w:rFonts w:eastAsia="Calibri"/>
        </w:rPr>
        <w:t>”</w:t>
      </w:r>
    </w:p>
    <w:p w:rsidR="007F22C9" w:rsidRPr="007F22C9" w:rsidRDefault="007F22C9" w:rsidP="00163450">
      <w:pPr>
        <w:pStyle w:val="ListParagraph"/>
        <w:numPr>
          <w:ilvl w:val="0"/>
          <w:numId w:val="25"/>
        </w:numPr>
        <w:spacing w:before="120" w:after="240" w:line="360" w:lineRule="auto"/>
        <w:ind w:left="714" w:hanging="357"/>
        <w:jc w:val="both"/>
        <w:rPr>
          <w:rFonts w:eastAsia="Calibri"/>
        </w:rPr>
      </w:pPr>
      <w:r>
        <w:rPr>
          <w:rFonts w:eastAsia="Calibri"/>
        </w:rPr>
        <w:t>La articolul 11, alineatele (3) și (4) se modifică și vor avea următorul cuprins:</w:t>
      </w:r>
    </w:p>
    <w:p w:rsidR="001860E8" w:rsidRDefault="001860E8" w:rsidP="008E1466">
      <w:pPr>
        <w:spacing w:line="360" w:lineRule="auto"/>
        <w:ind w:left="709"/>
        <w:jc w:val="both"/>
        <w:rPr>
          <w:rFonts w:eastAsia="Calibri"/>
        </w:rPr>
      </w:pPr>
      <w:r>
        <w:rPr>
          <w:rFonts w:eastAsia="Calibri"/>
        </w:rPr>
        <w:t xml:space="preserve">„(3) </w:t>
      </w:r>
      <w:r w:rsidR="001C1004" w:rsidRPr="001C1004">
        <w:rPr>
          <w:rFonts w:eastAsia="Calibri"/>
        </w:rPr>
        <w:t xml:space="preserve">Pentru indicatorul «Media </w:t>
      </w:r>
      <w:r w:rsidR="00E77915" w:rsidRPr="00E77915">
        <w:rPr>
          <w:rFonts w:eastAsia="Calibri"/>
        </w:rPr>
        <w:t>anuală a ratelor de succes a transmiterii datelor de la contor la HES/MDMS</w:t>
      </w:r>
      <w:r w:rsidR="001C1004" w:rsidRPr="001C1004">
        <w:rPr>
          <w:rFonts w:eastAsia="Calibri"/>
        </w:rPr>
        <w:t xml:space="preserve">» din anexa nr. 3 care face parte integrantă din prezentele condiții - cadru, determinarea se face pentru întreaga zonă de concesiune a </w:t>
      </w:r>
      <w:r w:rsidR="00FA3004">
        <w:rPr>
          <w:rFonts w:eastAsia="Calibri"/>
        </w:rPr>
        <w:t>serviciului de distribuţie energie electrică</w:t>
      </w:r>
      <w:r w:rsidR="001C1004" w:rsidRPr="001C1004">
        <w:rPr>
          <w:rFonts w:eastAsia="Calibri"/>
        </w:rPr>
        <w:t>, luând în calcul toate locurile de consum/de producere și consum integrate în SMI în zona de concesiune până la sfârșitul anului de raportare.</w:t>
      </w:r>
    </w:p>
    <w:p w:rsidR="003638F9" w:rsidRPr="007469B1" w:rsidRDefault="003638F9" w:rsidP="008E1466">
      <w:pPr>
        <w:spacing w:line="360" w:lineRule="auto"/>
        <w:ind w:left="709"/>
        <w:jc w:val="both"/>
        <w:rPr>
          <w:rFonts w:eastAsia="Calibri"/>
        </w:rPr>
      </w:pPr>
      <w:r w:rsidRPr="003638F9">
        <w:rPr>
          <w:rFonts w:eastAsia="Calibri"/>
        </w:rPr>
        <w:t xml:space="preserve">(4) Pentru indicatorul «Durata cumulată a întreruperilor lungi înregistrate la </w:t>
      </w:r>
      <w:r>
        <w:rPr>
          <w:rFonts w:eastAsia="Calibri"/>
        </w:rPr>
        <w:t xml:space="preserve">locurile de </w:t>
      </w:r>
      <w:r w:rsidR="009137F6">
        <w:rPr>
          <w:rFonts w:eastAsia="Calibri"/>
        </w:rPr>
        <w:t>consum/de producere</w:t>
      </w:r>
      <w:r>
        <w:rPr>
          <w:rFonts w:eastAsia="Calibri"/>
        </w:rPr>
        <w:t xml:space="preserve"> și consum</w:t>
      </w:r>
      <w:r w:rsidRPr="003638F9">
        <w:rPr>
          <w:rFonts w:eastAsia="Calibri"/>
        </w:rPr>
        <w:t xml:space="preserve"> integra</w:t>
      </w:r>
      <w:r>
        <w:rPr>
          <w:rFonts w:eastAsia="Calibri"/>
        </w:rPr>
        <w:t>te</w:t>
      </w:r>
      <w:r w:rsidRPr="003638F9">
        <w:rPr>
          <w:rFonts w:eastAsia="Calibri"/>
        </w:rPr>
        <w:t xml:space="preserve"> în SMI» din anexa nr. 3 care face parte integrantă din prezentele condiţii</w:t>
      </w:r>
      <w:r w:rsidR="00156398">
        <w:rPr>
          <w:rFonts w:eastAsia="Calibri"/>
        </w:rPr>
        <w:t xml:space="preserve"> </w:t>
      </w:r>
      <w:r w:rsidRPr="003638F9">
        <w:rPr>
          <w:rFonts w:eastAsia="Calibri"/>
        </w:rPr>
        <w:t>-</w:t>
      </w:r>
      <w:r w:rsidR="00156398">
        <w:rPr>
          <w:rFonts w:eastAsia="Calibri"/>
        </w:rPr>
        <w:t xml:space="preserve"> </w:t>
      </w:r>
      <w:r w:rsidRPr="003638F9">
        <w:rPr>
          <w:rFonts w:eastAsia="Calibri"/>
        </w:rPr>
        <w:t>cadru, valorile raportate vor fi exprimate în minute întrerupere.</w:t>
      </w:r>
      <w:r>
        <w:rPr>
          <w:rFonts w:eastAsia="Calibri"/>
        </w:rPr>
        <w:t>”</w:t>
      </w:r>
    </w:p>
    <w:p w:rsidR="00FD476F" w:rsidRDefault="00FD476F" w:rsidP="008E1466">
      <w:pPr>
        <w:pStyle w:val="ListParagraph"/>
        <w:numPr>
          <w:ilvl w:val="0"/>
          <w:numId w:val="25"/>
        </w:numPr>
        <w:tabs>
          <w:tab w:val="left" w:pos="993"/>
        </w:tabs>
        <w:suppressAutoHyphens/>
        <w:autoSpaceDN w:val="0"/>
        <w:spacing w:line="360" w:lineRule="auto"/>
        <w:ind w:left="709" w:hanging="352"/>
        <w:jc w:val="both"/>
        <w:textAlignment w:val="baseline"/>
        <w:rPr>
          <w:rFonts w:eastAsia="Calibri"/>
        </w:rPr>
      </w:pPr>
      <w:r>
        <w:rPr>
          <w:rFonts w:eastAsia="Calibri"/>
        </w:rPr>
        <w:t>La articolul 13 alin</w:t>
      </w:r>
      <w:r w:rsidR="003638F9">
        <w:rPr>
          <w:rFonts w:eastAsia="Calibri"/>
        </w:rPr>
        <w:t>eatul</w:t>
      </w:r>
      <w:r>
        <w:rPr>
          <w:rFonts w:eastAsia="Calibri"/>
        </w:rPr>
        <w:t xml:space="preserve"> (1) se modifică și v</w:t>
      </w:r>
      <w:r w:rsidR="00B93775">
        <w:rPr>
          <w:rFonts w:eastAsia="Calibri"/>
        </w:rPr>
        <w:t>a</w:t>
      </w:r>
      <w:r>
        <w:rPr>
          <w:rFonts w:eastAsia="Calibri"/>
        </w:rPr>
        <w:t xml:space="preserve"> avea următorul cuprins:</w:t>
      </w:r>
    </w:p>
    <w:p w:rsidR="003638F9" w:rsidRDefault="00FD476F" w:rsidP="008E1466">
      <w:pPr>
        <w:pStyle w:val="ListParagraph"/>
        <w:tabs>
          <w:tab w:val="left" w:pos="993"/>
        </w:tabs>
        <w:suppressAutoHyphens/>
        <w:autoSpaceDN w:val="0"/>
        <w:spacing w:before="120" w:after="120" w:line="360" w:lineRule="auto"/>
        <w:ind w:left="709"/>
        <w:jc w:val="both"/>
        <w:textAlignment w:val="baseline"/>
        <w:rPr>
          <w:rFonts w:eastAsia="Calibri"/>
        </w:rPr>
      </w:pPr>
      <w:r>
        <w:rPr>
          <w:rFonts w:eastAsia="Calibri"/>
        </w:rPr>
        <w:t>„</w:t>
      </w:r>
      <w:r w:rsidR="003638F9" w:rsidRPr="003638F9">
        <w:rPr>
          <w:rFonts w:eastAsia="Calibri"/>
        </w:rPr>
        <w:t xml:space="preserve">(1) </w:t>
      </w:r>
      <w:r w:rsidR="00B513F1" w:rsidRPr="00B513F1">
        <w:rPr>
          <w:rFonts w:eastAsia="Calibri"/>
        </w:rPr>
        <w:t>Modificarea</w:t>
      </w:r>
      <w:r w:rsidR="00B513F1" w:rsidRPr="003638F9">
        <w:rPr>
          <w:rFonts w:eastAsia="Calibri"/>
        </w:rPr>
        <w:t xml:space="preserve"> calendarului </w:t>
      </w:r>
      <w:r w:rsidR="003638F9" w:rsidRPr="003638F9">
        <w:rPr>
          <w:rFonts w:eastAsia="Calibri"/>
        </w:rPr>
        <w:t xml:space="preserve">şi </w:t>
      </w:r>
      <w:r w:rsidR="00B513F1">
        <w:rPr>
          <w:rFonts w:eastAsia="Calibri"/>
        </w:rPr>
        <w:t xml:space="preserve">a </w:t>
      </w:r>
      <w:r w:rsidR="00B513F1" w:rsidRPr="003638F9">
        <w:rPr>
          <w:rFonts w:eastAsia="Calibri"/>
        </w:rPr>
        <w:t xml:space="preserve">planurilor </w:t>
      </w:r>
      <w:r w:rsidR="003638F9" w:rsidRPr="003638F9">
        <w:rPr>
          <w:rFonts w:eastAsia="Calibri"/>
        </w:rPr>
        <w:t>de implementare a SMI</w:t>
      </w:r>
      <w:r w:rsidR="00B513F1" w:rsidRPr="00B513F1">
        <w:rPr>
          <w:rFonts w:eastAsia="Calibri"/>
        </w:rPr>
        <w:t xml:space="preserve"> </w:t>
      </w:r>
      <w:r w:rsidR="00B513F1" w:rsidRPr="003638F9">
        <w:rPr>
          <w:rFonts w:eastAsia="Calibri"/>
        </w:rPr>
        <w:t xml:space="preserve">pentru zonele de concesiune a </w:t>
      </w:r>
      <w:r w:rsidR="00FA3004">
        <w:rPr>
          <w:rFonts w:eastAsia="Calibri"/>
        </w:rPr>
        <w:t>serviciului de distribuţie energie electrică</w:t>
      </w:r>
      <w:r w:rsidR="003638F9" w:rsidRPr="003638F9">
        <w:rPr>
          <w:rFonts w:eastAsia="Calibri"/>
        </w:rPr>
        <w:t xml:space="preserve">, în ceea ce priveşte valoarea investiţiilor şi numărul </w:t>
      </w:r>
      <w:r w:rsidR="00B513F1" w:rsidRPr="003638F9">
        <w:rPr>
          <w:rFonts w:eastAsia="Calibri"/>
        </w:rPr>
        <w:t xml:space="preserve">anual </w:t>
      </w:r>
      <w:r w:rsidR="003638F9" w:rsidRPr="003638F9">
        <w:rPr>
          <w:rFonts w:eastAsia="Calibri"/>
        </w:rPr>
        <w:t xml:space="preserve">de </w:t>
      </w:r>
      <w:r w:rsidR="003638F9">
        <w:rPr>
          <w:rFonts w:eastAsia="Calibri"/>
        </w:rPr>
        <w:t xml:space="preserve">locuri de </w:t>
      </w:r>
      <w:r w:rsidR="009137F6">
        <w:rPr>
          <w:rFonts w:eastAsia="Calibri"/>
        </w:rPr>
        <w:t>consum/de producere</w:t>
      </w:r>
      <w:r w:rsidR="003638F9">
        <w:rPr>
          <w:rFonts w:eastAsia="Calibri"/>
        </w:rPr>
        <w:t xml:space="preserve"> și consum</w:t>
      </w:r>
      <w:r w:rsidR="003638F9" w:rsidRPr="003638F9">
        <w:rPr>
          <w:rFonts w:eastAsia="Calibri"/>
        </w:rPr>
        <w:t xml:space="preserve"> </w:t>
      </w:r>
      <w:r w:rsidR="00B513F1">
        <w:rPr>
          <w:rFonts w:eastAsia="Calibri"/>
        </w:rPr>
        <w:t xml:space="preserve">propus pentru </w:t>
      </w:r>
      <w:r w:rsidR="003638F9" w:rsidRPr="003638F9">
        <w:rPr>
          <w:rFonts w:eastAsia="Calibri"/>
        </w:rPr>
        <w:t>integra</w:t>
      </w:r>
      <w:r w:rsidR="00B513F1">
        <w:rPr>
          <w:rFonts w:eastAsia="Calibri"/>
        </w:rPr>
        <w:t>r</w:t>
      </w:r>
      <w:r w:rsidR="003638F9">
        <w:rPr>
          <w:rFonts w:eastAsia="Calibri"/>
        </w:rPr>
        <w:t>e</w:t>
      </w:r>
      <w:r w:rsidR="00B513F1">
        <w:rPr>
          <w:rFonts w:eastAsia="Calibri"/>
        </w:rPr>
        <w:t xml:space="preserve"> în SMI</w:t>
      </w:r>
      <w:r w:rsidR="003638F9" w:rsidRPr="003638F9">
        <w:rPr>
          <w:rFonts w:eastAsia="Calibri"/>
        </w:rPr>
        <w:t>, se fac</w:t>
      </w:r>
      <w:r w:rsidR="00B513F1">
        <w:rPr>
          <w:rFonts w:eastAsia="Calibri"/>
        </w:rPr>
        <w:t>e</w:t>
      </w:r>
      <w:r w:rsidR="003638F9" w:rsidRPr="003638F9">
        <w:rPr>
          <w:rFonts w:eastAsia="Calibri"/>
        </w:rPr>
        <w:t>:</w:t>
      </w:r>
    </w:p>
    <w:p w:rsidR="007F22C9" w:rsidRDefault="00FD476F" w:rsidP="007F22C9">
      <w:pPr>
        <w:pStyle w:val="ListParagraph"/>
        <w:numPr>
          <w:ilvl w:val="2"/>
          <w:numId w:val="25"/>
        </w:numPr>
        <w:tabs>
          <w:tab w:val="left" w:pos="993"/>
        </w:tabs>
        <w:suppressAutoHyphens/>
        <w:autoSpaceDN w:val="0"/>
        <w:spacing w:before="120" w:after="120" w:line="360" w:lineRule="auto"/>
        <w:ind w:left="1560"/>
        <w:jc w:val="both"/>
        <w:textAlignment w:val="baseline"/>
        <w:rPr>
          <w:rFonts w:eastAsia="Calibri"/>
        </w:rPr>
      </w:pPr>
      <w:r w:rsidRPr="00FD476F">
        <w:rPr>
          <w:rFonts w:eastAsia="Calibri"/>
        </w:rPr>
        <w:t>la solicitarea scrisă a OD</w:t>
      </w:r>
      <w:r w:rsidR="00C459D8">
        <w:rPr>
          <w:rFonts w:eastAsia="Calibri"/>
        </w:rPr>
        <w:t>,</w:t>
      </w:r>
      <w:r w:rsidRPr="00FD476F">
        <w:rPr>
          <w:rFonts w:eastAsia="Calibri"/>
        </w:rPr>
        <w:t xml:space="preserve"> însoțită de un memoriu justificativ și</w:t>
      </w:r>
      <w:r w:rsidR="00C459D8">
        <w:rPr>
          <w:rFonts w:eastAsia="Calibri"/>
        </w:rPr>
        <w:t xml:space="preserve">, </w:t>
      </w:r>
      <w:r w:rsidR="007F22C9">
        <w:rPr>
          <w:rFonts w:eastAsia="Calibri"/>
        </w:rPr>
        <w:t>în</w:t>
      </w:r>
      <w:r w:rsidR="00C459D8">
        <w:rPr>
          <w:rFonts w:eastAsia="Calibri"/>
        </w:rPr>
        <w:t xml:space="preserve"> </w:t>
      </w:r>
      <w:r w:rsidR="004C5EB8">
        <w:rPr>
          <w:rFonts w:eastAsia="Calibri"/>
        </w:rPr>
        <w:t>cazul</w:t>
      </w:r>
      <w:r w:rsidR="007F22C9">
        <w:rPr>
          <w:rFonts w:eastAsia="Calibri"/>
        </w:rPr>
        <w:t xml:space="preserve"> modificării </w:t>
      </w:r>
      <w:r w:rsidR="00F70093">
        <w:rPr>
          <w:rFonts w:eastAsia="Calibri"/>
        </w:rPr>
        <w:t>numărului de locuri de consum/</w:t>
      </w:r>
      <w:r w:rsidR="005F4FAF">
        <w:rPr>
          <w:rFonts w:eastAsia="Calibri"/>
        </w:rPr>
        <w:t xml:space="preserve">de </w:t>
      </w:r>
      <w:r w:rsidR="00F70093">
        <w:rPr>
          <w:rFonts w:eastAsia="Calibri"/>
        </w:rPr>
        <w:t>producere și consum integrate</w:t>
      </w:r>
      <w:r w:rsidR="004C5EB8">
        <w:rPr>
          <w:rFonts w:eastAsia="Calibri"/>
        </w:rPr>
        <w:t>, d</w:t>
      </w:r>
      <w:r w:rsidR="00C459D8">
        <w:rPr>
          <w:rFonts w:eastAsia="Calibri"/>
        </w:rPr>
        <w:t>e</w:t>
      </w:r>
      <w:r w:rsidRPr="00FD476F">
        <w:rPr>
          <w:rFonts w:eastAsia="Calibri"/>
        </w:rPr>
        <w:t xml:space="preserve"> </w:t>
      </w:r>
      <w:r w:rsidR="00F70093">
        <w:rPr>
          <w:rFonts w:eastAsia="Calibri"/>
        </w:rPr>
        <w:t xml:space="preserve">o </w:t>
      </w:r>
      <w:r w:rsidRPr="00FD476F">
        <w:rPr>
          <w:rFonts w:eastAsia="Calibri"/>
        </w:rPr>
        <w:t>analiz</w:t>
      </w:r>
      <w:r w:rsidR="00F70093">
        <w:rPr>
          <w:rFonts w:eastAsia="Calibri"/>
        </w:rPr>
        <w:t>ă</w:t>
      </w:r>
      <w:r w:rsidRPr="00FD476F">
        <w:rPr>
          <w:rFonts w:eastAsia="Calibri"/>
        </w:rPr>
        <w:t xml:space="preserve"> cost-benefici</w:t>
      </w:r>
      <w:r w:rsidR="004C5EB8">
        <w:rPr>
          <w:rFonts w:eastAsia="Calibri"/>
        </w:rPr>
        <w:t>u</w:t>
      </w:r>
      <w:r w:rsidRPr="00FD476F">
        <w:rPr>
          <w:rFonts w:eastAsia="Calibri"/>
        </w:rPr>
        <w:t xml:space="preserve"> </w:t>
      </w:r>
      <w:r w:rsidR="004C5EB8" w:rsidRPr="00FD476F">
        <w:rPr>
          <w:rFonts w:eastAsia="Calibri"/>
        </w:rPr>
        <w:t>p</w:t>
      </w:r>
      <w:r w:rsidR="004C5EB8">
        <w:rPr>
          <w:rFonts w:eastAsia="Calibri"/>
        </w:rPr>
        <w:t>e baza căreia</w:t>
      </w:r>
      <w:r w:rsidR="004C5EB8" w:rsidRPr="00FD476F">
        <w:rPr>
          <w:rFonts w:eastAsia="Calibri"/>
        </w:rPr>
        <w:t xml:space="preserve"> se fundamentează solicitarea</w:t>
      </w:r>
      <w:r w:rsidR="004C5EB8">
        <w:rPr>
          <w:rFonts w:eastAsia="Calibri"/>
        </w:rPr>
        <w:t>,</w:t>
      </w:r>
      <w:r w:rsidR="004C5EB8" w:rsidRPr="00FD476F">
        <w:rPr>
          <w:rFonts w:eastAsia="Calibri"/>
        </w:rPr>
        <w:t xml:space="preserve"> </w:t>
      </w:r>
      <w:r w:rsidRPr="00FD476F">
        <w:rPr>
          <w:rFonts w:eastAsia="Calibri"/>
        </w:rPr>
        <w:t>întocmit</w:t>
      </w:r>
      <w:r w:rsidR="004C5EB8">
        <w:rPr>
          <w:rFonts w:eastAsia="Calibri"/>
        </w:rPr>
        <w:t>ă</w:t>
      </w:r>
      <w:r w:rsidRPr="00FD476F">
        <w:rPr>
          <w:rFonts w:eastAsia="Calibri"/>
        </w:rPr>
        <w:t xml:space="preserve"> conform prevederilor din anexa nr. 6 care face parte integrantă din prezentele condiții</w:t>
      </w:r>
      <w:r w:rsidR="00F57881">
        <w:rPr>
          <w:rFonts w:eastAsia="Calibri"/>
        </w:rPr>
        <w:t xml:space="preserve"> </w:t>
      </w:r>
      <w:r w:rsidRPr="00FD476F">
        <w:rPr>
          <w:rFonts w:eastAsia="Calibri"/>
        </w:rPr>
        <w:t>-</w:t>
      </w:r>
      <w:r w:rsidR="00F57881">
        <w:rPr>
          <w:rFonts w:eastAsia="Calibri"/>
        </w:rPr>
        <w:t xml:space="preserve"> </w:t>
      </w:r>
      <w:r w:rsidRPr="00FD476F">
        <w:rPr>
          <w:rFonts w:eastAsia="Calibri"/>
        </w:rPr>
        <w:t>cadru;</w:t>
      </w:r>
    </w:p>
    <w:p w:rsidR="00FD476F" w:rsidRPr="00FD476F" w:rsidRDefault="007F22C9" w:rsidP="007F22C9">
      <w:pPr>
        <w:pStyle w:val="ListParagraph"/>
        <w:numPr>
          <w:ilvl w:val="2"/>
          <w:numId w:val="25"/>
        </w:numPr>
        <w:tabs>
          <w:tab w:val="left" w:pos="993"/>
        </w:tabs>
        <w:suppressAutoHyphens/>
        <w:autoSpaceDN w:val="0"/>
        <w:spacing w:before="120" w:after="120" w:line="360" w:lineRule="auto"/>
        <w:ind w:left="1560"/>
        <w:jc w:val="both"/>
        <w:textAlignment w:val="baseline"/>
        <w:rPr>
          <w:rFonts w:eastAsia="Calibri"/>
        </w:rPr>
      </w:pPr>
      <w:r w:rsidRPr="007F22C9">
        <w:rPr>
          <w:rFonts w:eastAsia="Calibri"/>
        </w:rPr>
        <w:t>la iniţiativa ANRE, ca urmare a analizei rezultatelor obţinute prin implementarea SMI, cu consultarea OD.</w:t>
      </w:r>
      <w:r w:rsidR="00FD476F">
        <w:rPr>
          <w:rFonts w:eastAsia="Calibri"/>
        </w:rPr>
        <w:t>”</w:t>
      </w:r>
    </w:p>
    <w:p w:rsidR="001C1004" w:rsidRDefault="001C1004" w:rsidP="008E1466">
      <w:pPr>
        <w:pStyle w:val="ListParagraph"/>
        <w:numPr>
          <w:ilvl w:val="0"/>
          <w:numId w:val="25"/>
        </w:numPr>
        <w:tabs>
          <w:tab w:val="left" w:pos="993"/>
        </w:tabs>
        <w:suppressAutoHyphens/>
        <w:autoSpaceDN w:val="0"/>
        <w:spacing w:before="120" w:line="360" w:lineRule="auto"/>
        <w:ind w:left="709" w:hanging="352"/>
        <w:jc w:val="both"/>
        <w:textAlignment w:val="baseline"/>
        <w:rPr>
          <w:rFonts w:eastAsia="Calibri"/>
        </w:rPr>
      </w:pPr>
      <w:r>
        <w:rPr>
          <w:rFonts w:eastAsia="Calibri"/>
        </w:rPr>
        <w:t>Titlul capitolului IX se modifică și va avea următorul cuprins:</w:t>
      </w:r>
    </w:p>
    <w:p w:rsidR="001C1004" w:rsidRDefault="001C1004"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w:t>
      </w:r>
      <w:r w:rsidRPr="001C1004">
        <w:rPr>
          <w:rFonts w:eastAsia="Calibri"/>
        </w:rPr>
        <w:t xml:space="preserve">Informarea utilizatorilor, asigurarea accesului la datele de măsurare şi facturarea pe baza </w:t>
      </w:r>
      <w:r w:rsidR="006F29E5">
        <w:rPr>
          <w:rFonts w:eastAsia="Calibri"/>
        </w:rPr>
        <w:t>datelor măsurate</w:t>
      </w:r>
      <w:r>
        <w:rPr>
          <w:rFonts w:eastAsia="Calibri"/>
        </w:rPr>
        <w:t>”</w:t>
      </w:r>
    </w:p>
    <w:p w:rsidR="008D770D" w:rsidRDefault="008D770D" w:rsidP="00163450">
      <w:pPr>
        <w:pStyle w:val="ListParagraph"/>
        <w:numPr>
          <w:ilvl w:val="0"/>
          <w:numId w:val="25"/>
        </w:numPr>
        <w:tabs>
          <w:tab w:val="left" w:pos="993"/>
        </w:tabs>
        <w:suppressAutoHyphens/>
        <w:autoSpaceDN w:val="0"/>
        <w:spacing w:before="120" w:after="240" w:line="360" w:lineRule="auto"/>
        <w:ind w:left="709" w:hanging="352"/>
        <w:jc w:val="both"/>
        <w:textAlignment w:val="baseline"/>
        <w:rPr>
          <w:rFonts w:eastAsia="Calibri"/>
        </w:rPr>
      </w:pPr>
      <w:r>
        <w:rPr>
          <w:rFonts w:eastAsia="Calibri"/>
        </w:rPr>
        <w:t xml:space="preserve">La articolul 18, alineatul (3) se </w:t>
      </w:r>
      <w:r w:rsidR="0026066D">
        <w:rPr>
          <w:rFonts w:eastAsia="Calibri"/>
        </w:rPr>
        <w:t>modifică și va avea următorul cuprins:</w:t>
      </w:r>
    </w:p>
    <w:p w:rsidR="0026066D" w:rsidRDefault="0026066D"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 xml:space="preserve">„(3) </w:t>
      </w:r>
      <w:r w:rsidRPr="00931CEB">
        <w:rPr>
          <w:rFonts w:eastAsia="Calibri"/>
        </w:rPr>
        <w:t xml:space="preserve">OD au obligaţia </w:t>
      </w:r>
      <w:r>
        <w:rPr>
          <w:rFonts w:eastAsia="Calibri"/>
        </w:rPr>
        <w:t>să</w:t>
      </w:r>
      <w:r w:rsidRPr="00931CEB">
        <w:rPr>
          <w:rFonts w:eastAsia="Calibri"/>
        </w:rPr>
        <w:t xml:space="preserve"> asigur</w:t>
      </w:r>
      <w:r>
        <w:rPr>
          <w:rFonts w:eastAsia="Calibri"/>
        </w:rPr>
        <w:t>e</w:t>
      </w:r>
      <w:r w:rsidRPr="00931CEB">
        <w:rPr>
          <w:rFonts w:eastAsia="Calibri"/>
        </w:rPr>
        <w:t xml:space="preserve"> utilizatorului al cărui loc de consum/de producere și consum este integrat în SMI</w:t>
      </w:r>
      <w:r>
        <w:rPr>
          <w:rFonts w:eastAsia="Calibri"/>
        </w:rPr>
        <w:t xml:space="preserve"> și furnizorului de la locul de consum/de producere și consum respectiv</w:t>
      </w:r>
      <w:r w:rsidRPr="00931CEB">
        <w:rPr>
          <w:rFonts w:eastAsia="Calibri"/>
        </w:rPr>
        <w:t>, acces</w:t>
      </w:r>
      <w:r>
        <w:rPr>
          <w:rFonts w:eastAsia="Calibri"/>
        </w:rPr>
        <w:t>ul</w:t>
      </w:r>
      <w:r w:rsidRPr="00931CEB">
        <w:rPr>
          <w:rFonts w:eastAsia="Calibri"/>
        </w:rPr>
        <w:t xml:space="preserve"> la datele istorice de </w:t>
      </w:r>
      <w:r>
        <w:rPr>
          <w:rFonts w:eastAsia="Calibri"/>
        </w:rPr>
        <w:t>măsurare, care includ și datele de măsurare aferente lunii curente a anului curent</w:t>
      </w:r>
      <w:r w:rsidRPr="00931CEB">
        <w:rPr>
          <w:rFonts w:eastAsia="Calibri"/>
        </w:rPr>
        <w:t>,</w:t>
      </w:r>
      <w:r>
        <w:rPr>
          <w:rFonts w:eastAsia="Calibri"/>
        </w:rPr>
        <w:t xml:space="preserve"> astfel încât acestea să fie disponibile pentru utilizatori și furnizori, în mod nediscriminatoriu, cu respectarea condițiilor de securitate și protecție a confidențialității datelor. Actualizarea datelor de măsurare se realizează cel puțin cu frecvență lunară.”</w:t>
      </w:r>
    </w:p>
    <w:p w:rsidR="00DA348B" w:rsidRDefault="00931CEB" w:rsidP="008E1466">
      <w:pPr>
        <w:pStyle w:val="ListParagraph"/>
        <w:numPr>
          <w:ilvl w:val="0"/>
          <w:numId w:val="25"/>
        </w:numPr>
        <w:tabs>
          <w:tab w:val="left" w:pos="993"/>
        </w:tabs>
        <w:suppressAutoHyphens/>
        <w:autoSpaceDN w:val="0"/>
        <w:spacing w:before="120" w:line="360" w:lineRule="auto"/>
        <w:ind w:left="709" w:hanging="352"/>
        <w:jc w:val="both"/>
        <w:textAlignment w:val="baseline"/>
        <w:rPr>
          <w:rFonts w:eastAsia="Calibri"/>
        </w:rPr>
      </w:pPr>
      <w:r>
        <w:rPr>
          <w:rFonts w:eastAsia="Calibri"/>
        </w:rPr>
        <w:t xml:space="preserve">Se introduce un nou articol, </w:t>
      </w:r>
      <w:r w:rsidR="00DA348B">
        <w:rPr>
          <w:rFonts w:eastAsia="Calibri"/>
        </w:rPr>
        <w:t>articolul 18</w:t>
      </w:r>
      <w:r w:rsidRPr="00931CEB">
        <w:rPr>
          <w:rFonts w:eastAsia="Calibri"/>
          <w:vertAlign w:val="superscript"/>
        </w:rPr>
        <w:t>1</w:t>
      </w:r>
      <w:r>
        <w:rPr>
          <w:rFonts w:eastAsia="Calibri"/>
        </w:rPr>
        <w:t>, care va avea următorul cuprins</w:t>
      </w:r>
      <w:r w:rsidR="00DA348B">
        <w:rPr>
          <w:rFonts w:eastAsia="Calibri"/>
        </w:rPr>
        <w:t>:</w:t>
      </w:r>
    </w:p>
    <w:p w:rsidR="00931CEB" w:rsidRPr="00931CEB" w:rsidRDefault="00931CEB"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lastRenderedPageBreak/>
        <w:t>„</w:t>
      </w:r>
      <w:r w:rsidR="00B93775" w:rsidRPr="00931CEB">
        <w:rPr>
          <w:rFonts w:eastAsia="Calibri"/>
        </w:rPr>
        <w:t>Art</w:t>
      </w:r>
      <w:r w:rsidR="00B93775">
        <w:rPr>
          <w:rFonts w:eastAsia="Calibri"/>
        </w:rPr>
        <w:t>.</w:t>
      </w:r>
      <w:r w:rsidR="00B93775" w:rsidRPr="00931CEB">
        <w:rPr>
          <w:rFonts w:eastAsia="Calibri"/>
        </w:rPr>
        <w:t xml:space="preserve"> 18</w:t>
      </w:r>
      <w:r w:rsidR="00B93775" w:rsidRPr="006B19FC">
        <w:rPr>
          <w:rFonts w:eastAsia="Calibri"/>
          <w:vertAlign w:val="superscript"/>
        </w:rPr>
        <w:t>1</w:t>
      </w:r>
      <w:r w:rsidR="00B93775" w:rsidRPr="00931CEB">
        <w:rPr>
          <w:rFonts w:eastAsia="Calibri"/>
        </w:rPr>
        <w:t xml:space="preserve"> </w:t>
      </w:r>
      <w:r w:rsidR="00B93775">
        <w:rPr>
          <w:rFonts w:eastAsia="Calibri"/>
        </w:rPr>
        <w:t xml:space="preserve"> - </w:t>
      </w:r>
      <w:r w:rsidRPr="00931CEB">
        <w:rPr>
          <w:rFonts w:eastAsia="Calibri"/>
        </w:rPr>
        <w:t xml:space="preserve">(1) Orice utilizator care are instalat la locul său de consum/de producere și consum un contor integrat în SMI poate solicita </w:t>
      </w:r>
      <w:r w:rsidR="00511797">
        <w:rPr>
          <w:rFonts w:eastAsia="Calibri"/>
        </w:rPr>
        <w:t>OD</w:t>
      </w:r>
      <w:r w:rsidR="005F4FAF">
        <w:rPr>
          <w:rFonts w:eastAsia="Calibri"/>
        </w:rPr>
        <w:t>,</w:t>
      </w:r>
      <w:r w:rsidR="00511797">
        <w:rPr>
          <w:rFonts w:eastAsia="Calibri"/>
        </w:rPr>
        <w:t xml:space="preserve"> </w:t>
      </w:r>
      <w:r w:rsidR="00F70093">
        <w:rPr>
          <w:rFonts w:eastAsia="Calibri"/>
        </w:rPr>
        <w:t>online,</w:t>
      </w:r>
      <w:r w:rsidRPr="00931CEB">
        <w:rPr>
          <w:rFonts w:eastAsia="Calibri"/>
        </w:rPr>
        <w:t xml:space="preserve"> acces la datele de </w:t>
      </w:r>
      <w:r w:rsidR="00B93775">
        <w:rPr>
          <w:rFonts w:eastAsia="Calibri"/>
        </w:rPr>
        <w:t>măsurare</w:t>
      </w:r>
      <w:r w:rsidRPr="00931CEB">
        <w:rPr>
          <w:rFonts w:eastAsia="Calibri"/>
        </w:rPr>
        <w:t xml:space="preserve"> nevalidate, în timp aproape real, pentru sine sau pentru un terț pe care </w:t>
      </w:r>
      <w:r w:rsidR="00B93775">
        <w:rPr>
          <w:rFonts w:eastAsia="Calibri"/>
        </w:rPr>
        <w:t xml:space="preserve">utilizatorul </w:t>
      </w:r>
      <w:r w:rsidRPr="00931CEB">
        <w:rPr>
          <w:rFonts w:eastAsia="Calibri"/>
        </w:rPr>
        <w:t>l-a împuternicit să aibă acces la aceste date în numele său.</w:t>
      </w:r>
    </w:p>
    <w:p w:rsidR="00931CEB" w:rsidRPr="00931CEB" w:rsidRDefault="00931CEB" w:rsidP="008E1466">
      <w:pPr>
        <w:pStyle w:val="ListParagraph"/>
        <w:tabs>
          <w:tab w:val="left" w:pos="993"/>
        </w:tabs>
        <w:suppressAutoHyphens/>
        <w:autoSpaceDN w:val="0"/>
        <w:spacing w:before="120" w:line="360" w:lineRule="auto"/>
        <w:ind w:left="709"/>
        <w:jc w:val="both"/>
        <w:textAlignment w:val="baseline"/>
        <w:rPr>
          <w:rFonts w:eastAsia="Calibri"/>
        </w:rPr>
      </w:pPr>
      <w:r w:rsidRPr="00931CEB">
        <w:rPr>
          <w:rFonts w:eastAsia="Calibri"/>
        </w:rPr>
        <w:t>(</w:t>
      </w:r>
      <w:r w:rsidR="008E1466">
        <w:rPr>
          <w:rFonts w:eastAsia="Calibri"/>
        </w:rPr>
        <w:t>2</w:t>
      </w:r>
      <w:r w:rsidRPr="00931CEB">
        <w:rPr>
          <w:rFonts w:eastAsia="Calibri"/>
        </w:rPr>
        <w:t xml:space="preserve">) OD are obligația </w:t>
      </w:r>
      <w:r w:rsidR="00B93775">
        <w:rPr>
          <w:rFonts w:eastAsia="Calibri"/>
        </w:rPr>
        <w:t>să informeze utilizatorii cu privire la posibilitatea efectuării unei solicitări conform alin. (</w:t>
      </w:r>
      <w:r w:rsidR="008E1466">
        <w:rPr>
          <w:rFonts w:eastAsia="Calibri"/>
        </w:rPr>
        <w:t>1</w:t>
      </w:r>
      <w:r w:rsidR="00B93775">
        <w:rPr>
          <w:rFonts w:eastAsia="Calibri"/>
        </w:rPr>
        <w:t>), cu indicarea modalităţii exacte de transmitere/formulare a solicitării</w:t>
      </w:r>
      <w:r w:rsidR="00587DB1">
        <w:rPr>
          <w:rFonts w:eastAsia="Calibri"/>
        </w:rPr>
        <w:t xml:space="preserve"> şi</w:t>
      </w:r>
      <w:r w:rsidR="00B93775">
        <w:rPr>
          <w:rFonts w:eastAsia="Calibri"/>
        </w:rPr>
        <w:t xml:space="preserve"> </w:t>
      </w:r>
      <w:r w:rsidRPr="00931CEB">
        <w:rPr>
          <w:rFonts w:eastAsia="Calibri"/>
        </w:rPr>
        <w:t xml:space="preserve">să asigure utilizatorului accesul </w:t>
      </w:r>
      <w:r w:rsidR="00587DB1">
        <w:rPr>
          <w:rFonts w:eastAsia="Calibri"/>
        </w:rPr>
        <w:t xml:space="preserve">la date conform </w:t>
      </w:r>
      <w:r w:rsidRPr="00931CEB">
        <w:rPr>
          <w:rFonts w:eastAsia="Calibri"/>
        </w:rPr>
        <w:t>solicit</w:t>
      </w:r>
      <w:r w:rsidR="00587DB1">
        <w:rPr>
          <w:rFonts w:eastAsia="Calibri"/>
        </w:rPr>
        <w:t>ării</w:t>
      </w:r>
      <w:r w:rsidR="00587DB1" w:rsidRPr="00587DB1">
        <w:rPr>
          <w:rFonts w:eastAsia="Calibri"/>
        </w:rPr>
        <w:t xml:space="preserve"> </w:t>
      </w:r>
      <w:r w:rsidR="00587DB1" w:rsidRPr="00931CEB">
        <w:rPr>
          <w:rFonts w:eastAsia="Calibri"/>
        </w:rPr>
        <w:t>în termen de</w:t>
      </w:r>
      <w:r w:rsidR="00587DB1">
        <w:rPr>
          <w:rFonts w:eastAsia="Calibri"/>
        </w:rPr>
        <w:t xml:space="preserve"> maxim</w:t>
      </w:r>
      <w:r w:rsidR="00587DB1" w:rsidRPr="00931CEB">
        <w:rPr>
          <w:rFonts w:eastAsia="Calibri"/>
        </w:rPr>
        <w:t xml:space="preserve"> </w:t>
      </w:r>
      <w:r w:rsidR="00587DB1">
        <w:rPr>
          <w:rFonts w:eastAsia="Calibri"/>
        </w:rPr>
        <w:t>30 de zile de la transmiterea/efectuarea acesteia</w:t>
      </w:r>
      <w:r w:rsidRPr="00931CEB">
        <w:rPr>
          <w:rFonts w:eastAsia="Calibri"/>
        </w:rPr>
        <w:t>.</w:t>
      </w:r>
    </w:p>
    <w:p w:rsidR="00931CEB" w:rsidRPr="00931CEB" w:rsidRDefault="00931CEB" w:rsidP="008E1466">
      <w:pPr>
        <w:pStyle w:val="ListParagraph"/>
        <w:tabs>
          <w:tab w:val="left" w:pos="993"/>
        </w:tabs>
        <w:suppressAutoHyphens/>
        <w:autoSpaceDN w:val="0"/>
        <w:spacing w:before="120" w:line="360" w:lineRule="auto"/>
        <w:ind w:left="709"/>
        <w:jc w:val="both"/>
        <w:textAlignment w:val="baseline"/>
        <w:rPr>
          <w:rFonts w:eastAsia="Calibri"/>
        </w:rPr>
      </w:pPr>
      <w:r w:rsidRPr="00931CEB">
        <w:rPr>
          <w:rFonts w:eastAsia="Calibri"/>
        </w:rPr>
        <w:t>(</w:t>
      </w:r>
      <w:r w:rsidR="008E1466">
        <w:rPr>
          <w:rFonts w:eastAsia="Calibri"/>
        </w:rPr>
        <w:t>3</w:t>
      </w:r>
      <w:r w:rsidRPr="00931CEB">
        <w:rPr>
          <w:rFonts w:eastAsia="Calibri"/>
        </w:rPr>
        <w:t xml:space="preserve">) La stabilirea modalității de asigurare a accesului local la datele de </w:t>
      </w:r>
      <w:r w:rsidR="00D423A9">
        <w:rPr>
          <w:rFonts w:eastAsia="Calibri"/>
        </w:rPr>
        <w:t>măsurare</w:t>
      </w:r>
      <w:r w:rsidR="00D423A9" w:rsidRPr="00931CEB">
        <w:rPr>
          <w:rFonts w:eastAsia="Calibri"/>
        </w:rPr>
        <w:t xml:space="preserve"> </w:t>
      </w:r>
      <w:r w:rsidRPr="00931CEB">
        <w:rPr>
          <w:rFonts w:eastAsia="Calibri"/>
        </w:rPr>
        <w:t>nevalidate, în timp aproape real, OD se asigură că soluția tehnică implementată:</w:t>
      </w:r>
    </w:p>
    <w:p w:rsidR="00931CEB" w:rsidRPr="00931CEB" w:rsidRDefault="00931CEB" w:rsidP="008E1466">
      <w:pPr>
        <w:pStyle w:val="ListParagraph"/>
        <w:tabs>
          <w:tab w:val="left" w:pos="993"/>
          <w:tab w:val="left" w:pos="1418"/>
          <w:tab w:val="left" w:pos="1701"/>
        </w:tabs>
        <w:suppressAutoHyphens/>
        <w:autoSpaceDN w:val="0"/>
        <w:spacing w:before="120" w:line="360" w:lineRule="auto"/>
        <w:ind w:left="1134"/>
        <w:jc w:val="both"/>
        <w:textAlignment w:val="baseline"/>
        <w:rPr>
          <w:rFonts w:eastAsia="Calibri"/>
        </w:rPr>
      </w:pPr>
      <w:r w:rsidRPr="00931CEB">
        <w:rPr>
          <w:rFonts w:eastAsia="Calibri"/>
        </w:rPr>
        <w:t>a)</w:t>
      </w:r>
      <w:r w:rsidRPr="00931CEB">
        <w:rPr>
          <w:rFonts w:eastAsia="Calibri"/>
        </w:rPr>
        <w:tab/>
        <w:t>este fiabilă și robustă (</w:t>
      </w:r>
      <w:r w:rsidR="00587DB1">
        <w:rPr>
          <w:rFonts w:eastAsia="Calibri"/>
        </w:rPr>
        <w:t>în principal</w:t>
      </w:r>
      <w:r w:rsidRPr="00931CEB">
        <w:rPr>
          <w:rFonts w:eastAsia="Calibri"/>
        </w:rPr>
        <w:t xml:space="preserve"> în raport cu eventuale perturbații induse de echipamente aflate în proximitatea subsistemelor de măsurare și de comunicații integrate în SMI);</w:t>
      </w:r>
    </w:p>
    <w:p w:rsidR="00931CEB" w:rsidRPr="00931CEB" w:rsidRDefault="00931CEB" w:rsidP="008E1466">
      <w:pPr>
        <w:pStyle w:val="ListParagraph"/>
        <w:tabs>
          <w:tab w:val="left" w:pos="993"/>
          <w:tab w:val="left" w:pos="1418"/>
          <w:tab w:val="left" w:pos="1701"/>
        </w:tabs>
        <w:suppressAutoHyphens/>
        <w:autoSpaceDN w:val="0"/>
        <w:spacing w:before="120" w:line="360" w:lineRule="auto"/>
        <w:ind w:left="1134"/>
        <w:jc w:val="both"/>
        <w:textAlignment w:val="baseline"/>
        <w:rPr>
          <w:rFonts w:eastAsia="Calibri"/>
        </w:rPr>
      </w:pPr>
      <w:r w:rsidRPr="00931CEB">
        <w:rPr>
          <w:rFonts w:eastAsia="Calibri"/>
        </w:rPr>
        <w:t>b)</w:t>
      </w:r>
      <w:r w:rsidRPr="00931CEB">
        <w:rPr>
          <w:rFonts w:eastAsia="Calibri"/>
        </w:rPr>
        <w:tab/>
        <w:t>asigură securitatea subsistemului de măsurare prin separarea căii de acces pentru configurarea/parametrizarea contorului, de calea pentru extragerea locală a datelor de consum/</w:t>
      </w:r>
      <w:r w:rsidR="00485ED9">
        <w:rPr>
          <w:rFonts w:eastAsia="Calibri"/>
        </w:rPr>
        <w:t xml:space="preserve">de </w:t>
      </w:r>
      <w:r w:rsidRPr="00931CEB">
        <w:rPr>
          <w:rFonts w:eastAsia="Calibri"/>
        </w:rPr>
        <w:t>producere și consum nevalidate, în timp aproape real;</w:t>
      </w:r>
    </w:p>
    <w:p w:rsidR="00931CEB" w:rsidRPr="00931CEB" w:rsidRDefault="00931CEB" w:rsidP="008E1466">
      <w:pPr>
        <w:pStyle w:val="ListParagraph"/>
        <w:tabs>
          <w:tab w:val="left" w:pos="993"/>
          <w:tab w:val="left" w:pos="1418"/>
          <w:tab w:val="left" w:pos="1701"/>
        </w:tabs>
        <w:suppressAutoHyphens/>
        <w:autoSpaceDN w:val="0"/>
        <w:spacing w:before="120" w:line="360" w:lineRule="auto"/>
        <w:ind w:left="1134"/>
        <w:jc w:val="both"/>
        <w:textAlignment w:val="baseline"/>
        <w:rPr>
          <w:rFonts w:eastAsia="Calibri"/>
        </w:rPr>
      </w:pPr>
      <w:r w:rsidRPr="00931CEB">
        <w:rPr>
          <w:rFonts w:eastAsia="Calibri"/>
        </w:rPr>
        <w:t>c)</w:t>
      </w:r>
      <w:r w:rsidRPr="00931CEB">
        <w:rPr>
          <w:rFonts w:eastAsia="Calibri"/>
        </w:rPr>
        <w:tab/>
        <w:t>asigură condiții de interoperabilitate pentru transferul de date din subsistemul de măsurare al locului de consum/de producere și consum, către echipamentele utilizatorului sau unui terț împuternicit de acesta.</w:t>
      </w:r>
    </w:p>
    <w:p w:rsidR="00DA348B" w:rsidRDefault="00931CEB" w:rsidP="008E1466">
      <w:pPr>
        <w:pStyle w:val="ListParagraph"/>
        <w:tabs>
          <w:tab w:val="left" w:pos="993"/>
        </w:tabs>
        <w:suppressAutoHyphens/>
        <w:autoSpaceDN w:val="0"/>
        <w:spacing w:before="120" w:line="360" w:lineRule="auto"/>
        <w:ind w:left="709"/>
        <w:jc w:val="both"/>
        <w:textAlignment w:val="baseline"/>
        <w:rPr>
          <w:rFonts w:eastAsia="Calibri"/>
        </w:rPr>
      </w:pPr>
      <w:r w:rsidRPr="00931CEB">
        <w:rPr>
          <w:rFonts w:eastAsia="Calibri"/>
        </w:rPr>
        <w:t>(</w:t>
      </w:r>
      <w:r w:rsidR="008E1466">
        <w:rPr>
          <w:rFonts w:eastAsia="Calibri"/>
        </w:rPr>
        <w:t>4</w:t>
      </w:r>
      <w:r w:rsidRPr="00931CEB">
        <w:rPr>
          <w:rFonts w:eastAsia="Calibri"/>
        </w:rPr>
        <w:t>) Pentru tratarea solicitărilor prevăzute la alin. (</w:t>
      </w:r>
      <w:r w:rsidR="00034A1C">
        <w:rPr>
          <w:rFonts w:eastAsia="Calibri"/>
        </w:rPr>
        <w:t>1</w:t>
      </w:r>
      <w:r w:rsidRPr="00931CEB">
        <w:rPr>
          <w:rFonts w:eastAsia="Calibri"/>
        </w:rPr>
        <w:t>) OD elaborează și aprobă, în termen de 60 de zile de la intrarea în vigoare a prezentului ordin, o procedură internă pe care o face publică pe pagina proprie de internet, în secțiunea dedicată sistemelor de măsurare inteligentă a energiei electrice.</w:t>
      </w:r>
    </w:p>
    <w:p w:rsidR="00EF44F3" w:rsidRDefault="00EF44F3"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w:t>
      </w:r>
      <w:r w:rsidR="008E1466">
        <w:rPr>
          <w:rFonts w:eastAsia="Calibri"/>
        </w:rPr>
        <w:t>5</w:t>
      </w:r>
      <w:r>
        <w:rPr>
          <w:rFonts w:eastAsia="Calibri"/>
        </w:rPr>
        <w:t>) OD au obligația ca, odată cu publicarea procedurii prevăzut</w:t>
      </w:r>
      <w:r w:rsidR="00904578">
        <w:rPr>
          <w:rFonts w:eastAsia="Calibri"/>
        </w:rPr>
        <w:t>e</w:t>
      </w:r>
      <w:r>
        <w:rPr>
          <w:rFonts w:eastAsia="Calibri"/>
        </w:rPr>
        <w:t xml:space="preserve"> la alin. (</w:t>
      </w:r>
      <w:r w:rsidR="008E1466">
        <w:rPr>
          <w:rFonts w:eastAsia="Calibri"/>
        </w:rPr>
        <w:t>4</w:t>
      </w:r>
      <w:r>
        <w:rPr>
          <w:rFonts w:eastAsia="Calibri"/>
        </w:rPr>
        <w:t xml:space="preserve">) să publice și o fișă tehnică cu date tehnice și detalii privind soluția tehnică prin care asigură utilizatorilor accesul local la datele de </w:t>
      </w:r>
      <w:r w:rsidR="00CA51E7">
        <w:rPr>
          <w:rFonts w:eastAsia="Calibri"/>
        </w:rPr>
        <w:t xml:space="preserve">măsurare </w:t>
      </w:r>
      <w:r>
        <w:rPr>
          <w:rFonts w:eastAsia="Calibri"/>
        </w:rPr>
        <w:t>nevalidate, în timp aproape real.”</w:t>
      </w:r>
    </w:p>
    <w:p w:rsidR="004078D0" w:rsidRDefault="004078D0" w:rsidP="00163450">
      <w:pPr>
        <w:pStyle w:val="ListParagraph"/>
        <w:numPr>
          <w:ilvl w:val="0"/>
          <w:numId w:val="25"/>
        </w:numPr>
        <w:tabs>
          <w:tab w:val="left" w:pos="993"/>
        </w:tabs>
        <w:suppressAutoHyphens/>
        <w:autoSpaceDN w:val="0"/>
        <w:spacing w:before="120" w:after="240" w:line="360" w:lineRule="auto"/>
        <w:ind w:left="709" w:hanging="352"/>
        <w:jc w:val="both"/>
        <w:textAlignment w:val="baseline"/>
        <w:rPr>
          <w:rFonts w:eastAsia="Calibri"/>
        </w:rPr>
      </w:pPr>
      <w:r>
        <w:rPr>
          <w:rFonts w:eastAsia="Calibri"/>
        </w:rPr>
        <w:t>Articolul 19 se modifică și va avea următorul cuprins:</w:t>
      </w:r>
    </w:p>
    <w:p w:rsidR="004078D0" w:rsidRDefault="004078D0"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w:t>
      </w:r>
      <w:r w:rsidRPr="004078D0">
        <w:rPr>
          <w:rFonts w:eastAsia="Calibri"/>
        </w:rPr>
        <w:t>Pe toată durata calendarului de implementare a SMI, lunar, în primele 5 zile lucrătoare ale lunii curente, OD transmit furnizorilor de energie electrică situaţia cu locurile de consum/de producere şi consum integrate în SMI în luna precedentă, precum şi datele de identificare corespunzătoare</w:t>
      </w:r>
      <w:r>
        <w:rPr>
          <w:rFonts w:eastAsia="Calibri"/>
        </w:rPr>
        <w:t>.”</w:t>
      </w:r>
    </w:p>
    <w:p w:rsidR="00116597" w:rsidRDefault="00116597" w:rsidP="00163450">
      <w:pPr>
        <w:pStyle w:val="ListParagraph"/>
        <w:numPr>
          <w:ilvl w:val="0"/>
          <w:numId w:val="25"/>
        </w:numPr>
        <w:tabs>
          <w:tab w:val="left" w:pos="993"/>
        </w:tabs>
        <w:suppressAutoHyphens/>
        <w:autoSpaceDN w:val="0"/>
        <w:spacing w:before="120" w:after="240" w:line="360" w:lineRule="auto"/>
        <w:ind w:left="709" w:hanging="352"/>
        <w:jc w:val="both"/>
        <w:textAlignment w:val="baseline"/>
        <w:rPr>
          <w:rFonts w:eastAsia="Calibri"/>
        </w:rPr>
      </w:pPr>
      <w:r>
        <w:rPr>
          <w:rFonts w:eastAsia="Calibri"/>
        </w:rPr>
        <w:t>Articolul 20 se modifică și va avea următorul cuprins:</w:t>
      </w:r>
    </w:p>
    <w:p w:rsidR="008801B0" w:rsidRDefault="008801B0"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 xml:space="preserve">„(1) </w:t>
      </w:r>
      <w:r w:rsidRPr="008801B0">
        <w:rPr>
          <w:rFonts w:eastAsia="Calibri"/>
        </w:rPr>
        <w:t xml:space="preserve">La racordarea instalaţiilor noilor utilizatori la reţelele electrice de distribuţie a energiei electrice de joasă tensiune în zone în care s-au implementat SMI, OD montează </w:t>
      </w:r>
      <w:r>
        <w:rPr>
          <w:rFonts w:eastAsia="Calibri"/>
        </w:rPr>
        <w:t xml:space="preserve">la respectivele </w:t>
      </w:r>
      <w:r>
        <w:rPr>
          <w:rFonts w:eastAsia="Calibri"/>
        </w:rPr>
        <w:lastRenderedPageBreak/>
        <w:t xml:space="preserve">locuri de consum/de producere și consum </w:t>
      </w:r>
      <w:r w:rsidRPr="008801B0">
        <w:rPr>
          <w:rFonts w:eastAsia="Calibri"/>
        </w:rPr>
        <w:t>contoare pe care le integrează în SMI, cu respectarea prevederilor prezentelor condiţii</w:t>
      </w:r>
      <w:r w:rsidR="00DD4EF9">
        <w:rPr>
          <w:rFonts w:eastAsia="Calibri"/>
        </w:rPr>
        <w:t xml:space="preserve"> </w:t>
      </w:r>
      <w:r w:rsidRPr="008801B0">
        <w:rPr>
          <w:rFonts w:eastAsia="Calibri"/>
        </w:rPr>
        <w:t>-</w:t>
      </w:r>
      <w:r w:rsidR="00DD4EF9">
        <w:rPr>
          <w:rFonts w:eastAsia="Calibri"/>
        </w:rPr>
        <w:t xml:space="preserve"> </w:t>
      </w:r>
      <w:r w:rsidRPr="008801B0">
        <w:rPr>
          <w:rFonts w:eastAsia="Calibri"/>
        </w:rPr>
        <w:t>cadru şi a prevederilor legale în vigoare.</w:t>
      </w:r>
    </w:p>
    <w:p w:rsidR="008801B0" w:rsidRDefault="008801B0"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 xml:space="preserve">(2) La primirea notificării privind înființarea unei comunități de energie, conform prevederilor legale în vigoare, OD are obligația ca în termen de </w:t>
      </w:r>
      <w:r w:rsidR="00EF3DE5">
        <w:rPr>
          <w:rFonts w:eastAsia="Calibri"/>
        </w:rPr>
        <w:t>șase</w:t>
      </w:r>
      <w:r>
        <w:rPr>
          <w:rFonts w:eastAsia="Calibri"/>
        </w:rPr>
        <w:t xml:space="preserve"> luni de la primirea notificării, </w:t>
      </w:r>
      <w:r w:rsidR="009A17B7" w:rsidRPr="009A17B7">
        <w:rPr>
          <w:rFonts w:eastAsia="Calibri"/>
        </w:rPr>
        <w:t>să echipeze post</w:t>
      </w:r>
      <w:r w:rsidR="009A17B7">
        <w:rPr>
          <w:rFonts w:eastAsia="Calibri"/>
        </w:rPr>
        <w:t>ul</w:t>
      </w:r>
      <w:r w:rsidR="009A17B7" w:rsidRPr="009A17B7">
        <w:rPr>
          <w:rFonts w:eastAsia="Calibri"/>
        </w:rPr>
        <w:t>/posturi</w:t>
      </w:r>
      <w:r w:rsidR="009A17B7">
        <w:rPr>
          <w:rFonts w:eastAsia="Calibri"/>
        </w:rPr>
        <w:t>le</w:t>
      </w:r>
      <w:r w:rsidR="009A17B7" w:rsidRPr="009A17B7">
        <w:rPr>
          <w:rFonts w:eastAsia="Calibri"/>
        </w:rPr>
        <w:t xml:space="preserve"> de transformare </w:t>
      </w:r>
      <w:r w:rsidR="009A17B7">
        <w:rPr>
          <w:rFonts w:eastAsia="Calibri"/>
        </w:rPr>
        <w:t xml:space="preserve">la care sunt racordați membrii comunității de energie </w:t>
      </w:r>
      <w:r w:rsidR="009A17B7" w:rsidRPr="009A17B7">
        <w:rPr>
          <w:rFonts w:eastAsia="Calibri"/>
        </w:rPr>
        <w:t xml:space="preserve">cu concentrator și contor de balanță și să integreze în SMI locurile </w:t>
      </w:r>
      <w:r w:rsidR="009A17B7">
        <w:rPr>
          <w:rFonts w:eastAsia="Calibri"/>
        </w:rPr>
        <w:t>de consum/</w:t>
      </w:r>
      <w:r w:rsidR="009A17B7" w:rsidRPr="009A17B7">
        <w:rPr>
          <w:rFonts w:eastAsia="Calibri"/>
        </w:rPr>
        <w:t xml:space="preserve">de producere și consum </w:t>
      </w:r>
      <w:r w:rsidR="00842253">
        <w:rPr>
          <w:rFonts w:eastAsia="Calibri"/>
        </w:rPr>
        <w:t>din respectiva/respectivele zone</w:t>
      </w:r>
      <w:r w:rsidR="00F149C0">
        <w:rPr>
          <w:rFonts w:eastAsia="Calibri"/>
        </w:rPr>
        <w:t xml:space="preserve"> de rețea</w:t>
      </w:r>
      <w:r>
        <w:rPr>
          <w:rFonts w:eastAsia="Calibri"/>
        </w:rPr>
        <w:t>.</w:t>
      </w:r>
    </w:p>
    <w:p w:rsidR="009A17B7" w:rsidRDefault="008801B0"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 xml:space="preserve">(3) </w:t>
      </w:r>
      <w:r w:rsidR="00C9760F">
        <w:rPr>
          <w:rFonts w:eastAsia="Calibri"/>
        </w:rPr>
        <w:t xml:space="preserve">În cazul în care </w:t>
      </w:r>
      <w:r w:rsidR="00D472B4">
        <w:rPr>
          <w:rFonts w:eastAsia="Calibri"/>
        </w:rPr>
        <w:t>sunt racordați mai mult de cinci prosumatori care au alimentarea de bază, conform cer</w:t>
      </w:r>
      <w:r w:rsidR="00516C7C">
        <w:rPr>
          <w:rFonts w:eastAsia="Calibri"/>
        </w:rPr>
        <w:t>t</w:t>
      </w:r>
      <w:r w:rsidR="00D472B4">
        <w:rPr>
          <w:rFonts w:eastAsia="Calibri"/>
        </w:rPr>
        <w:t>ificatului de racordare, în acela</w:t>
      </w:r>
      <w:r w:rsidR="009A17B7">
        <w:rPr>
          <w:rFonts w:eastAsia="Calibri"/>
        </w:rPr>
        <w:t>ș</w:t>
      </w:r>
      <w:r w:rsidR="00D472B4">
        <w:rPr>
          <w:rFonts w:eastAsia="Calibri"/>
        </w:rPr>
        <w:t>i post de transformare</w:t>
      </w:r>
      <w:r w:rsidR="0046686E">
        <w:rPr>
          <w:rFonts w:eastAsia="Calibri"/>
        </w:rPr>
        <w:t>, OD are obligația</w:t>
      </w:r>
      <w:r w:rsidR="00774274">
        <w:rPr>
          <w:rFonts w:eastAsia="Calibri"/>
        </w:rPr>
        <w:t xml:space="preserve"> ca în termen de șase luni de la înregistrarea evenimentului</w:t>
      </w:r>
      <w:r w:rsidR="0046686E">
        <w:rPr>
          <w:rFonts w:eastAsia="Calibri"/>
        </w:rPr>
        <w:t xml:space="preserve"> să echipeze respectivul/respectivele post/posturi de transformare cu concentrator și contor de balanță și să integreze </w:t>
      </w:r>
      <w:r w:rsidR="00F70093">
        <w:rPr>
          <w:rFonts w:eastAsia="Calibri"/>
        </w:rPr>
        <w:t xml:space="preserve">în SMI </w:t>
      </w:r>
      <w:r w:rsidR="00774274">
        <w:rPr>
          <w:rFonts w:eastAsia="Calibri"/>
        </w:rPr>
        <w:t xml:space="preserve">locurile de producere și consum </w:t>
      </w:r>
      <w:r w:rsidR="00F70093">
        <w:rPr>
          <w:rFonts w:eastAsia="Calibri"/>
        </w:rPr>
        <w:t>din acea zonă</w:t>
      </w:r>
      <w:r w:rsidR="00F149C0">
        <w:rPr>
          <w:rFonts w:eastAsia="Calibri"/>
        </w:rPr>
        <w:t xml:space="preserve"> de rețea</w:t>
      </w:r>
      <w:r w:rsidR="00774274">
        <w:rPr>
          <w:rFonts w:eastAsia="Calibri"/>
        </w:rPr>
        <w:t>.</w:t>
      </w:r>
    </w:p>
    <w:p w:rsidR="008801B0" w:rsidRDefault="009A17B7" w:rsidP="008E1466">
      <w:pPr>
        <w:pStyle w:val="ListParagraph"/>
        <w:tabs>
          <w:tab w:val="left" w:pos="993"/>
        </w:tabs>
        <w:suppressAutoHyphens/>
        <w:autoSpaceDN w:val="0"/>
        <w:spacing w:before="120" w:line="360" w:lineRule="auto"/>
        <w:ind w:left="709"/>
        <w:jc w:val="both"/>
        <w:textAlignment w:val="baseline"/>
        <w:rPr>
          <w:rFonts w:eastAsia="Calibri"/>
        </w:rPr>
      </w:pPr>
      <w:r>
        <w:rPr>
          <w:rFonts w:eastAsia="Calibri"/>
        </w:rPr>
        <w:t xml:space="preserve">(4) </w:t>
      </w:r>
      <w:r w:rsidR="00774274">
        <w:rPr>
          <w:rFonts w:eastAsia="Calibri"/>
        </w:rPr>
        <w:t xml:space="preserve">În </w:t>
      </w:r>
      <w:r>
        <w:rPr>
          <w:rFonts w:eastAsia="Calibri"/>
        </w:rPr>
        <w:t xml:space="preserve">cazul apariției </w:t>
      </w:r>
      <w:r w:rsidR="004D55B0">
        <w:rPr>
          <w:rFonts w:eastAsia="Calibri"/>
        </w:rPr>
        <w:t>situații</w:t>
      </w:r>
      <w:r w:rsidR="0071367F">
        <w:rPr>
          <w:rFonts w:eastAsia="Calibri"/>
        </w:rPr>
        <w:t>lor</w:t>
      </w:r>
      <w:r>
        <w:rPr>
          <w:rFonts w:eastAsia="Calibri"/>
        </w:rPr>
        <w:t xml:space="preserve"> prevăzute la alin. (2) și (3)</w:t>
      </w:r>
      <w:r w:rsidR="004D55B0">
        <w:rPr>
          <w:rFonts w:eastAsia="Calibri"/>
        </w:rPr>
        <w:t>, OD poate modifica prioritizarea zonelor de implementare prevăzută</w:t>
      </w:r>
      <w:r>
        <w:rPr>
          <w:rFonts w:eastAsia="Calibri"/>
        </w:rPr>
        <w:t xml:space="preserve"> în calendarul de implementare a SMI</w:t>
      </w:r>
      <w:r w:rsidR="004D55B0">
        <w:rPr>
          <w:rFonts w:eastAsia="Calibri"/>
        </w:rPr>
        <w:t xml:space="preserve"> pentru perioada imediat următoare</w:t>
      </w:r>
      <w:r w:rsidR="00774274">
        <w:rPr>
          <w:rFonts w:eastAsia="Calibri"/>
        </w:rPr>
        <w:t>.</w:t>
      </w:r>
      <w:r w:rsidR="004D55B0">
        <w:rPr>
          <w:rFonts w:eastAsia="Calibri"/>
        </w:rPr>
        <w:t xml:space="preserve"> Această </w:t>
      </w:r>
      <w:r w:rsidR="0071367F">
        <w:rPr>
          <w:rFonts w:eastAsia="Calibri"/>
        </w:rPr>
        <w:t xml:space="preserve">modificare </w:t>
      </w:r>
      <w:r w:rsidR="004D55B0">
        <w:rPr>
          <w:rFonts w:eastAsia="Calibri"/>
        </w:rPr>
        <w:t xml:space="preserve">va fi notificată ANRE în cursul anului în care </w:t>
      </w:r>
      <w:r w:rsidR="0071367F">
        <w:rPr>
          <w:rFonts w:eastAsia="Calibri"/>
        </w:rPr>
        <w:t xml:space="preserve">aceasta </w:t>
      </w:r>
      <w:r w:rsidR="004D55B0">
        <w:rPr>
          <w:rFonts w:eastAsia="Calibri"/>
        </w:rPr>
        <w:t>s-a produs.</w:t>
      </w:r>
      <w:r w:rsidR="008801B0">
        <w:rPr>
          <w:rFonts w:eastAsia="Calibri"/>
        </w:rPr>
        <w:t>”</w:t>
      </w:r>
    </w:p>
    <w:p w:rsidR="00174166" w:rsidRDefault="00174166" w:rsidP="00163450">
      <w:pPr>
        <w:pStyle w:val="ListParagraph"/>
        <w:numPr>
          <w:ilvl w:val="0"/>
          <w:numId w:val="25"/>
        </w:numPr>
        <w:tabs>
          <w:tab w:val="left" w:pos="993"/>
        </w:tabs>
        <w:suppressAutoHyphens/>
        <w:autoSpaceDN w:val="0"/>
        <w:spacing w:before="120" w:after="240" w:line="360" w:lineRule="auto"/>
        <w:ind w:left="850" w:hanging="493"/>
        <w:jc w:val="both"/>
        <w:textAlignment w:val="baseline"/>
        <w:rPr>
          <w:rFonts w:eastAsia="Calibri"/>
        </w:rPr>
      </w:pPr>
      <w:r>
        <w:rPr>
          <w:rFonts w:eastAsia="Calibri"/>
        </w:rPr>
        <w:t>Articolul 22 se modifică și va avea următorul cuprins:</w:t>
      </w:r>
    </w:p>
    <w:p w:rsidR="006B19FC" w:rsidRPr="006B19FC" w:rsidRDefault="00174166" w:rsidP="008E1466">
      <w:pPr>
        <w:pStyle w:val="ListParagraph"/>
        <w:tabs>
          <w:tab w:val="left" w:pos="1276"/>
        </w:tabs>
        <w:suppressAutoHyphens/>
        <w:autoSpaceDN w:val="0"/>
        <w:spacing w:before="120" w:line="360" w:lineRule="auto"/>
        <w:ind w:left="850"/>
        <w:jc w:val="both"/>
        <w:textAlignment w:val="baseline"/>
        <w:rPr>
          <w:rFonts w:eastAsia="Calibri"/>
        </w:rPr>
      </w:pPr>
      <w:r w:rsidRPr="009413EE">
        <w:rPr>
          <w:rFonts w:eastAsia="Calibri"/>
        </w:rPr>
        <w:t>„(1)</w:t>
      </w:r>
      <w:r w:rsidRPr="009413EE">
        <w:rPr>
          <w:rFonts w:eastAsia="Calibri"/>
        </w:rPr>
        <w:tab/>
      </w:r>
      <w:r w:rsidR="006B19FC" w:rsidRPr="009413EE">
        <w:rPr>
          <w:rFonts w:eastAsia="Calibri"/>
        </w:rPr>
        <w:t>Pentru procesul de deconectare/reconectare de la distanță a locurilor de consum/de producere și consum</w:t>
      </w:r>
      <w:r w:rsidR="00A15BA1" w:rsidRPr="009413EE">
        <w:rPr>
          <w:rFonts w:eastAsia="Calibri"/>
        </w:rPr>
        <w:t xml:space="preserve"> integrate în SMI</w:t>
      </w:r>
      <w:r w:rsidR="006B19FC" w:rsidRPr="009413EE">
        <w:rPr>
          <w:rFonts w:eastAsia="Calibri"/>
        </w:rPr>
        <w:t>, OD au obligația să întocmească o procedură operațională prin care să se asigure realizarea procesului în condiții de siguranță și securitate a elementelor de rețea și a persoanelor aflate la locul de consum/de producere și consum. Procedura va fi publicată pe pagina proprie de internet, în termen de 30 de zile</w:t>
      </w:r>
      <w:r w:rsidR="00485ED9" w:rsidRPr="009413EE">
        <w:rPr>
          <w:rFonts w:eastAsia="Calibri"/>
        </w:rPr>
        <w:t xml:space="preserve"> de la intrarea în vigoare a prezentului ordin</w:t>
      </w:r>
      <w:r w:rsidR="006B19FC" w:rsidRPr="009413EE">
        <w:rPr>
          <w:rFonts w:eastAsia="Calibri"/>
        </w:rPr>
        <w:t>, în secțiunea dedicată sistemelor de măsurare inteligentă a energiei electrice.</w:t>
      </w:r>
    </w:p>
    <w:p w:rsidR="00174166" w:rsidRDefault="006B19FC" w:rsidP="008E1466">
      <w:pPr>
        <w:pStyle w:val="ListParagraph"/>
        <w:tabs>
          <w:tab w:val="left" w:pos="1276"/>
        </w:tabs>
        <w:suppressAutoHyphens/>
        <w:autoSpaceDN w:val="0"/>
        <w:spacing w:before="120" w:line="360" w:lineRule="auto"/>
        <w:ind w:left="850"/>
        <w:jc w:val="both"/>
        <w:textAlignment w:val="baseline"/>
        <w:rPr>
          <w:rFonts w:eastAsia="Calibri"/>
        </w:rPr>
      </w:pPr>
      <w:r w:rsidRPr="006B19FC">
        <w:rPr>
          <w:rFonts w:eastAsia="Calibri"/>
        </w:rPr>
        <w:t>(2)</w:t>
      </w:r>
      <w:r w:rsidRPr="006B19FC">
        <w:rPr>
          <w:rFonts w:eastAsia="Calibri"/>
        </w:rPr>
        <w:tab/>
        <w:t>OD nu percep costuri pentru deconectarea/reconectarea locurilor de consum/de producere și consum care sunt integrate în SMI, inclusiv în cazurile de nefuncţionare temporară a SMI.</w:t>
      </w:r>
      <w:r w:rsidR="00174166">
        <w:rPr>
          <w:rFonts w:eastAsia="Calibri"/>
        </w:rPr>
        <w:t>”</w:t>
      </w:r>
    </w:p>
    <w:p w:rsidR="00221796" w:rsidRDefault="00221796" w:rsidP="00163450">
      <w:pPr>
        <w:pStyle w:val="ListParagraph"/>
        <w:numPr>
          <w:ilvl w:val="0"/>
          <w:numId w:val="25"/>
        </w:numPr>
        <w:tabs>
          <w:tab w:val="left" w:pos="993"/>
        </w:tabs>
        <w:suppressAutoHyphens/>
        <w:autoSpaceDN w:val="0"/>
        <w:spacing w:before="120" w:after="240" w:line="360" w:lineRule="auto"/>
        <w:ind w:left="714" w:hanging="357"/>
        <w:jc w:val="both"/>
        <w:textAlignment w:val="baseline"/>
        <w:rPr>
          <w:rFonts w:eastAsia="Calibri"/>
        </w:rPr>
      </w:pPr>
      <w:r>
        <w:rPr>
          <w:rFonts w:eastAsia="Calibri"/>
        </w:rPr>
        <w:t>Articolul 2</w:t>
      </w:r>
      <w:r w:rsidR="00600467">
        <w:rPr>
          <w:rFonts w:eastAsia="Calibri"/>
        </w:rPr>
        <w:t>5</w:t>
      </w:r>
      <w:r>
        <w:rPr>
          <w:rFonts w:eastAsia="Calibri"/>
        </w:rPr>
        <w:t xml:space="preserve"> se modifică și va avea următorul cuprins:</w:t>
      </w:r>
    </w:p>
    <w:p w:rsidR="00221796" w:rsidRDefault="00221796" w:rsidP="00163450">
      <w:pPr>
        <w:pStyle w:val="ListParagraph"/>
        <w:tabs>
          <w:tab w:val="left" w:pos="993"/>
        </w:tabs>
        <w:suppressAutoHyphens/>
        <w:autoSpaceDN w:val="0"/>
        <w:spacing w:before="120" w:after="240" w:line="360" w:lineRule="auto"/>
        <w:ind w:left="709"/>
        <w:jc w:val="both"/>
        <w:textAlignment w:val="baseline"/>
        <w:rPr>
          <w:rFonts w:eastAsia="Calibri"/>
        </w:rPr>
      </w:pPr>
      <w:r>
        <w:rPr>
          <w:rFonts w:eastAsia="Calibri"/>
        </w:rPr>
        <w:t>„</w:t>
      </w:r>
      <w:r w:rsidR="006B19FC" w:rsidRPr="006B19FC">
        <w:rPr>
          <w:rFonts w:eastAsia="Calibri"/>
        </w:rPr>
        <w:t xml:space="preserve">Valoarea indicatorului «Media </w:t>
      </w:r>
      <w:r w:rsidR="00E77915" w:rsidRPr="00E77915">
        <w:rPr>
          <w:rFonts w:eastAsia="Calibri"/>
        </w:rPr>
        <w:t>anuală a ratelor de succes a transmiterii datelor de la contor la HES/MDMS</w:t>
      </w:r>
      <w:r w:rsidR="006B19FC" w:rsidRPr="006B19FC">
        <w:rPr>
          <w:rFonts w:eastAsia="Calibri"/>
        </w:rPr>
        <w:t>» pentru care SMI implementate se consideră că îndeplinesc funcţionalităţile obligatorii prevăzute în anexa nr. 2, care face parte integrantă din prezentele condiţii</w:t>
      </w:r>
      <w:r w:rsidR="000F677E">
        <w:rPr>
          <w:rFonts w:eastAsia="Calibri"/>
        </w:rPr>
        <w:t xml:space="preserve"> </w:t>
      </w:r>
      <w:r w:rsidR="006B19FC" w:rsidRPr="006B19FC">
        <w:rPr>
          <w:rFonts w:eastAsia="Calibri"/>
        </w:rPr>
        <w:t>-</w:t>
      </w:r>
      <w:r w:rsidR="000F677E">
        <w:rPr>
          <w:rFonts w:eastAsia="Calibri"/>
        </w:rPr>
        <w:t xml:space="preserve"> </w:t>
      </w:r>
      <w:r w:rsidR="006B19FC" w:rsidRPr="006B19FC">
        <w:rPr>
          <w:rFonts w:eastAsia="Calibri"/>
        </w:rPr>
        <w:t>cadru, este de minimum 80% până în anul 2025 inclusiv și 90% începând cu anul 2026. Indicatorul luat în considerare este cel determinat la nivelul zonei de concesiune (cf. pct. 10 din Anexa nr. 3 la condițiile</w:t>
      </w:r>
      <w:r w:rsidR="00DD4EF9">
        <w:rPr>
          <w:rFonts w:eastAsia="Calibri"/>
        </w:rPr>
        <w:t xml:space="preserve"> </w:t>
      </w:r>
      <w:r w:rsidR="006B19FC" w:rsidRPr="006B19FC">
        <w:rPr>
          <w:rFonts w:eastAsia="Calibri"/>
        </w:rPr>
        <w:t>-</w:t>
      </w:r>
      <w:r w:rsidR="00DD4EF9">
        <w:rPr>
          <w:rFonts w:eastAsia="Calibri"/>
        </w:rPr>
        <w:t xml:space="preserve"> </w:t>
      </w:r>
      <w:r w:rsidR="006B19FC" w:rsidRPr="006B19FC">
        <w:rPr>
          <w:rFonts w:eastAsia="Calibri"/>
        </w:rPr>
        <w:t>cadru).</w:t>
      </w:r>
      <w:r w:rsidR="00600467">
        <w:rPr>
          <w:rFonts w:eastAsia="Calibri"/>
        </w:rPr>
        <w:t>”</w:t>
      </w:r>
    </w:p>
    <w:p w:rsidR="00163450" w:rsidRDefault="00163450" w:rsidP="00163450">
      <w:pPr>
        <w:pStyle w:val="ListParagraph"/>
        <w:tabs>
          <w:tab w:val="left" w:pos="993"/>
        </w:tabs>
        <w:suppressAutoHyphens/>
        <w:autoSpaceDN w:val="0"/>
        <w:spacing w:before="120" w:after="240" w:line="360" w:lineRule="auto"/>
        <w:ind w:left="709"/>
        <w:jc w:val="both"/>
        <w:textAlignment w:val="baseline"/>
        <w:rPr>
          <w:rFonts w:eastAsia="Calibri"/>
        </w:rPr>
      </w:pPr>
    </w:p>
    <w:p w:rsidR="00940590" w:rsidRDefault="00940590" w:rsidP="003D175B">
      <w:pPr>
        <w:pStyle w:val="ListParagraph"/>
        <w:numPr>
          <w:ilvl w:val="0"/>
          <w:numId w:val="25"/>
        </w:numPr>
        <w:tabs>
          <w:tab w:val="left" w:pos="993"/>
        </w:tabs>
        <w:suppressAutoHyphens/>
        <w:autoSpaceDN w:val="0"/>
        <w:spacing w:before="120" w:line="360" w:lineRule="auto"/>
        <w:ind w:left="850" w:hanging="493"/>
        <w:jc w:val="both"/>
        <w:textAlignment w:val="baseline"/>
        <w:rPr>
          <w:rFonts w:eastAsia="Calibri"/>
        </w:rPr>
      </w:pPr>
      <w:r>
        <w:rPr>
          <w:rFonts w:eastAsia="Calibri"/>
        </w:rPr>
        <w:lastRenderedPageBreak/>
        <w:t>În Anexa nr. 1</w:t>
      </w:r>
      <w:r w:rsidR="001F2F9A">
        <w:rPr>
          <w:rFonts w:eastAsia="Calibri"/>
        </w:rPr>
        <w:t xml:space="preserve"> la condiţiile</w:t>
      </w:r>
      <w:r w:rsidR="00DD4EF9">
        <w:rPr>
          <w:rFonts w:eastAsia="Calibri"/>
        </w:rPr>
        <w:t xml:space="preserve"> </w:t>
      </w:r>
      <w:r w:rsidR="00F216FB">
        <w:rPr>
          <w:rFonts w:eastAsia="Calibri"/>
        </w:rPr>
        <w:t>-</w:t>
      </w:r>
      <w:r w:rsidR="00DD4EF9">
        <w:rPr>
          <w:rFonts w:eastAsia="Calibri"/>
        </w:rPr>
        <w:t xml:space="preserve"> </w:t>
      </w:r>
      <w:r w:rsidR="00F216FB">
        <w:rPr>
          <w:rFonts w:eastAsia="Calibri"/>
        </w:rPr>
        <w:t>cadru,</w:t>
      </w:r>
      <w:r>
        <w:rPr>
          <w:rFonts w:eastAsia="Calibri"/>
        </w:rPr>
        <w:t xml:space="preserve"> sintagma „utilizatori integrați” se va înlocui cu sintagma „locuri de </w:t>
      </w:r>
      <w:r w:rsidR="009137F6">
        <w:rPr>
          <w:rFonts w:eastAsia="Calibri"/>
        </w:rPr>
        <w:t>consum/de producere</w:t>
      </w:r>
      <w:r>
        <w:rPr>
          <w:rFonts w:eastAsia="Calibri"/>
        </w:rPr>
        <w:t xml:space="preserve"> și consum integrate</w:t>
      </w:r>
      <w:r w:rsidR="00E75FAD">
        <w:rPr>
          <w:rFonts w:eastAsia="Calibri"/>
        </w:rPr>
        <w:t>.</w:t>
      </w:r>
      <w:r>
        <w:rPr>
          <w:rFonts w:eastAsia="Calibri"/>
        </w:rPr>
        <w:t>”</w:t>
      </w:r>
    </w:p>
    <w:p w:rsidR="0014511A" w:rsidRDefault="0014511A" w:rsidP="003D175B">
      <w:pPr>
        <w:pStyle w:val="ListParagraph"/>
        <w:numPr>
          <w:ilvl w:val="0"/>
          <w:numId w:val="25"/>
        </w:numPr>
        <w:tabs>
          <w:tab w:val="left" w:pos="993"/>
        </w:tabs>
        <w:suppressAutoHyphens/>
        <w:autoSpaceDN w:val="0"/>
        <w:spacing w:before="120" w:line="360" w:lineRule="auto"/>
        <w:ind w:left="850" w:hanging="493"/>
        <w:jc w:val="both"/>
        <w:textAlignment w:val="baseline"/>
        <w:rPr>
          <w:rFonts w:eastAsia="Calibri"/>
        </w:rPr>
      </w:pPr>
      <w:r>
        <w:rPr>
          <w:rFonts w:eastAsia="Calibri"/>
        </w:rPr>
        <w:t>În Anexa nr. 2 la condițiile</w:t>
      </w:r>
      <w:r w:rsidR="00156398">
        <w:rPr>
          <w:rFonts w:eastAsia="Calibri"/>
        </w:rPr>
        <w:t xml:space="preserve"> </w:t>
      </w:r>
      <w:r>
        <w:rPr>
          <w:rFonts w:eastAsia="Calibri"/>
        </w:rPr>
        <w:t>-</w:t>
      </w:r>
      <w:r w:rsidR="00156398">
        <w:rPr>
          <w:rFonts w:eastAsia="Calibri"/>
        </w:rPr>
        <w:t xml:space="preserve"> </w:t>
      </w:r>
      <w:r>
        <w:rPr>
          <w:rFonts w:eastAsia="Calibri"/>
        </w:rPr>
        <w:t>cadru, definiția de la punctul 1, coloana „</w:t>
      </w:r>
      <w:r w:rsidR="00545B02">
        <w:rPr>
          <w:rFonts w:eastAsia="Calibri"/>
        </w:rPr>
        <w:t>Descriere</w:t>
      </w:r>
      <w:r>
        <w:rPr>
          <w:rFonts w:eastAsia="Calibri"/>
        </w:rPr>
        <w:t>” se modifică și va avea următorul cuprins:</w:t>
      </w:r>
    </w:p>
    <w:p w:rsidR="0014511A" w:rsidRDefault="0014511A" w:rsidP="00545B02">
      <w:pPr>
        <w:pStyle w:val="ListParagraph"/>
        <w:tabs>
          <w:tab w:val="left" w:pos="993"/>
        </w:tabs>
        <w:suppressAutoHyphens/>
        <w:autoSpaceDN w:val="0"/>
        <w:spacing w:before="120" w:line="360" w:lineRule="auto"/>
        <w:ind w:left="850"/>
        <w:jc w:val="both"/>
        <w:textAlignment w:val="baseline"/>
        <w:rPr>
          <w:rFonts w:eastAsia="Calibri"/>
        </w:rPr>
      </w:pPr>
      <w:r>
        <w:rPr>
          <w:rFonts w:eastAsia="Calibri"/>
        </w:rPr>
        <w:t>„</w:t>
      </w:r>
      <w:r w:rsidR="001C26DF">
        <w:rPr>
          <w:rFonts w:eastAsia="Calibri"/>
        </w:rPr>
        <w:t xml:space="preserve"> </w:t>
      </w:r>
      <w:r w:rsidR="00545B02" w:rsidRPr="00545B02">
        <w:rPr>
          <w:rFonts w:eastAsia="Calibri"/>
        </w:rPr>
        <w:t>Transmiterea către utilizator sau către oricare terţ desemnat de acesta, în timp util, a unor citiri precise, uşor de înţeles şi de utilizat. Prin citiri se înţelege indexuri cu marca de timp aferente consumului/producerii, validate și stocate în sistemul central, sau nevalidate, în timp aproape r</w:t>
      </w:r>
      <w:r w:rsidR="00DD4EF9">
        <w:rPr>
          <w:rFonts w:eastAsia="Calibri"/>
        </w:rPr>
        <w:t>e</w:t>
      </w:r>
      <w:r w:rsidR="00545B02" w:rsidRPr="00545B02">
        <w:rPr>
          <w:rFonts w:eastAsia="Calibri"/>
        </w:rPr>
        <w:t>al, accesibile local,</w:t>
      </w:r>
      <w:r w:rsidR="004E4C4B">
        <w:rPr>
          <w:rFonts w:eastAsia="Calibri"/>
        </w:rPr>
        <w:t xml:space="preserve"> </w:t>
      </w:r>
      <w:r w:rsidR="00545B02" w:rsidRPr="00545B02">
        <w:rPr>
          <w:rFonts w:eastAsia="Calibri"/>
        </w:rPr>
        <w:t>cu periodicitate şi pentru o perioadă de timp suficientă, stabilită contractual.</w:t>
      </w:r>
      <w:r>
        <w:rPr>
          <w:rFonts w:eastAsia="Calibri"/>
        </w:rPr>
        <w:t>”</w:t>
      </w:r>
    </w:p>
    <w:p w:rsidR="005A25C3" w:rsidRDefault="000B15C9" w:rsidP="003D175B">
      <w:pPr>
        <w:pStyle w:val="ListParagraph"/>
        <w:numPr>
          <w:ilvl w:val="0"/>
          <w:numId w:val="25"/>
        </w:numPr>
        <w:tabs>
          <w:tab w:val="left" w:pos="993"/>
        </w:tabs>
        <w:suppressAutoHyphens/>
        <w:autoSpaceDN w:val="0"/>
        <w:spacing w:before="120" w:line="360" w:lineRule="auto"/>
        <w:ind w:left="850" w:hanging="493"/>
        <w:jc w:val="both"/>
        <w:textAlignment w:val="baseline"/>
        <w:rPr>
          <w:rFonts w:eastAsia="Calibri"/>
        </w:rPr>
      </w:pPr>
      <w:r>
        <w:rPr>
          <w:rFonts w:eastAsia="Calibri"/>
        </w:rPr>
        <w:t>Anexa nr. 3 la condițile</w:t>
      </w:r>
      <w:r w:rsidR="00DD4EF9">
        <w:rPr>
          <w:rFonts w:eastAsia="Calibri"/>
        </w:rPr>
        <w:t xml:space="preserve"> </w:t>
      </w:r>
      <w:r>
        <w:rPr>
          <w:rFonts w:eastAsia="Calibri"/>
        </w:rPr>
        <w:t>-</w:t>
      </w:r>
      <w:r w:rsidR="00DD4EF9">
        <w:rPr>
          <w:rFonts w:eastAsia="Calibri"/>
        </w:rPr>
        <w:t xml:space="preserve"> </w:t>
      </w:r>
      <w:r>
        <w:rPr>
          <w:rFonts w:eastAsia="Calibri"/>
        </w:rPr>
        <w:t xml:space="preserve">cadru se înlocuiește cu anexa </w:t>
      </w:r>
      <w:r w:rsidRPr="000B15C9">
        <w:rPr>
          <w:rFonts w:eastAsia="Calibri"/>
        </w:rPr>
        <w:t xml:space="preserve">având conţinutul prevăzut în anexa </w:t>
      </w:r>
      <w:r w:rsidR="005360A0">
        <w:rPr>
          <w:rFonts w:eastAsia="Calibri"/>
        </w:rPr>
        <w:t>nr. 1</w:t>
      </w:r>
      <w:r>
        <w:rPr>
          <w:rFonts w:eastAsia="Calibri"/>
        </w:rPr>
        <w:t xml:space="preserve"> </w:t>
      </w:r>
      <w:r w:rsidRPr="000B15C9">
        <w:rPr>
          <w:rFonts w:eastAsia="Calibri"/>
        </w:rPr>
        <w:t>care face parte integrantă din prezentul ordin.</w:t>
      </w:r>
    </w:p>
    <w:p w:rsidR="00A521D7" w:rsidRPr="00FD476F" w:rsidRDefault="000B15C9" w:rsidP="004C1D5A">
      <w:pPr>
        <w:pStyle w:val="ListParagraph"/>
        <w:numPr>
          <w:ilvl w:val="0"/>
          <w:numId w:val="25"/>
        </w:numPr>
        <w:tabs>
          <w:tab w:val="left" w:pos="993"/>
        </w:tabs>
        <w:suppressAutoHyphens/>
        <w:autoSpaceDN w:val="0"/>
        <w:spacing w:before="120" w:after="120" w:line="360" w:lineRule="auto"/>
        <w:ind w:left="851" w:hanging="494"/>
        <w:jc w:val="both"/>
        <w:textAlignment w:val="baseline"/>
        <w:rPr>
          <w:rFonts w:eastAsia="Calibri"/>
        </w:rPr>
      </w:pPr>
      <w:r w:rsidRPr="000B15C9">
        <w:t xml:space="preserve">Anexa nr. </w:t>
      </w:r>
      <w:r>
        <w:t>4</w:t>
      </w:r>
      <w:r w:rsidRPr="000B15C9">
        <w:t xml:space="preserve"> la condițile</w:t>
      </w:r>
      <w:r w:rsidR="00DD4EF9">
        <w:t xml:space="preserve"> </w:t>
      </w:r>
      <w:r w:rsidRPr="000B15C9">
        <w:t>-</w:t>
      </w:r>
      <w:r w:rsidR="00DD4EF9">
        <w:t xml:space="preserve"> </w:t>
      </w:r>
      <w:r w:rsidRPr="000B15C9">
        <w:t xml:space="preserve">cadru se înlocuiește cu anexa având conţinutul prevăzut în anexa </w:t>
      </w:r>
      <w:r w:rsidR="005360A0">
        <w:t>nr. 2</w:t>
      </w:r>
      <w:r>
        <w:t xml:space="preserve"> </w:t>
      </w:r>
      <w:r w:rsidRPr="000B15C9">
        <w:t>care face parte integrantă din prezentul ordin.</w:t>
      </w:r>
    </w:p>
    <w:p w:rsidR="00FD476F" w:rsidRPr="006338DA" w:rsidRDefault="00FD476F" w:rsidP="004C1D5A">
      <w:pPr>
        <w:pStyle w:val="ListParagraph"/>
        <w:numPr>
          <w:ilvl w:val="0"/>
          <w:numId w:val="25"/>
        </w:numPr>
        <w:tabs>
          <w:tab w:val="left" w:pos="993"/>
        </w:tabs>
        <w:suppressAutoHyphens/>
        <w:autoSpaceDN w:val="0"/>
        <w:spacing w:before="120" w:after="120" w:line="360" w:lineRule="auto"/>
        <w:ind w:left="851" w:hanging="494"/>
        <w:jc w:val="both"/>
        <w:textAlignment w:val="baseline"/>
        <w:rPr>
          <w:rFonts w:eastAsia="Calibri"/>
        </w:rPr>
      </w:pPr>
      <w:r>
        <w:rPr>
          <w:rFonts w:eastAsia="Calibri"/>
        </w:rPr>
        <w:t xml:space="preserve">Se introduc </w:t>
      </w:r>
      <w:r w:rsidR="006B19FC">
        <w:rPr>
          <w:rFonts w:eastAsia="Calibri"/>
        </w:rPr>
        <w:t>două</w:t>
      </w:r>
      <w:r>
        <w:rPr>
          <w:rFonts w:eastAsia="Calibri"/>
        </w:rPr>
        <w:t xml:space="preserve"> no</w:t>
      </w:r>
      <w:r w:rsidR="006B19FC">
        <w:rPr>
          <w:rFonts w:eastAsia="Calibri"/>
        </w:rPr>
        <w:t>i</w:t>
      </w:r>
      <w:r>
        <w:rPr>
          <w:rFonts w:eastAsia="Calibri"/>
        </w:rPr>
        <w:t xml:space="preserve"> anex</w:t>
      </w:r>
      <w:r w:rsidR="006B19FC">
        <w:rPr>
          <w:rFonts w:eastAsia="Calibri"/>
        </w:rPr>
        <w:t>e</w:t>
      </w:r>
      <w:r>
        <w:rPr>
          <w:rFonts w:eastAsia="Calibri"/>
        </w:rPr>
        <w:t xml:space="preserve">, anexa nr. 6 </w:t>
      </w:r>
      <w:r w:rsidR="006B19FC">
        <w:rPr>
          <w:rFonts w:eastAsia="Calibri"/>
        </w:rPr>
        <w:t xml:space="preserve">și anexa nr. 7 </w:t>
      </w:r>
      <w:r>
        <w:rPr>
          <w:rFonts w:eastAsia="Calibri"/>
        </w:rPr>
        <w:t>la condițiile</w:t>
      </w:r>
      <w:r w:rsidR="00156398">
        <w:rPr>
          <w:rFonts w:eastAsia="Calibri"/>
        </w:rPr>
        <w:t xml:space="preserve"> </w:t>
      </w:r>
      <w:r>
        <w:rPr>
          <w:rFonts w:eastAsia="Calibri"/>
        </w:rPr>
        <w:t>-</w:t>
      </w:r>
      <w:r w:rsidR="00156398">
        <w:rPr>
          <w:rFonts w:eastAsia="Calibri"/>
        </w:rPr>
        <w:t xml:space="preserve"> </w:t>
      </w:r>
      <w:r>
        <w:rPr>
          <w:rFonts w:eastAsia="Calibri"/>
        </w:rPr>
        <w:t xml:space="preserve">cadru având conținutul prevăzut în anexa </w:t>
      </w:r>
      <w:r w:rsidR="005360A0">
        <w:rPr>
          <w:rFonts w:eastAsia="Calibri"/>
        </w:rPr>
        <w:t>nr. 3</w:t>
      </w:r>
      <w:r w:rsidR="006B19FC">
        <w:rPr>
          <w:rFonts w:eastAsia="Calibri"/>
        </w:rPr>
        <w:t>, respectiv anexa nr. 4</w:t>
      </w:r>
      <w:r>
        <w:rPr>
          <w:rFonts w:eastAsia="Calibri"/>
        </w:rPr>
        <w:t xml:space="preserve"> care fac parte integrantă din prezentul ordin.</w:t>
      </w:r>
    </w:p>
    <w:p w:rsidR="00593E14" w:rsidRDefault="00593E14" w:rsidP="001F3C42">
      <w:pPr>
        <w:spacing w:line="360" w:lineRule="auto"/>
        <w:jc w:val="both"/>
      </w:pPr>
      <w:r w:rsidRPr="006338DA">
        <w:rPr>
          <w:rFonts w:eastAsiaTheme="majorEastAsia" w:cstheme="majorBidi"/>
          <w:b/>
        </w:rPr>
        <w:t>Art. II</w:t>
      </w:r>
      <w:r w:rsidR="00294541">
        <w:rPr>
          <w:rFonts w:eastAsiaTheme="majorEastAsia" w:cstheme="majorBidi"/>
          <w:b/>
        </w:rPr>
        <w:t xml:space="preserve"> </w:t>
      </w:r>
      <w:r w:rsidR="000939B3">
        <w:t>–</w:t>
      </w:r>
      <w:r>
        <w:t xml:space="preserve"> Operatorii de distribu</w:t>
      </w:r>
      <w:r w:rsidR="00EF231C">
        <w:t>ț</w:t>
      </w:r>
      <w:r>
        <w:t xml:space="preserve">ie concesionari </w:t>
      </w:r>
      <w:r w:rsidR="004E4CEE">
        <w:t xml:space="preserve">și furnizorii </w:t>
      </w:r>
      <w:r w:rsidR="00F45EBC">
        <w:t xml:space="preserve">de energie electrică </w:t>
      </w:r>
      <w:r>
        <w:t>duc la îndeplinire prevederile prezentului ordin, iar entită</w:t>
      </w:r>
      <w:r w:rsidR="00EF231C">
        <w:t>ț</w:t>
      </w:r>
      <w:r>
        <w:t>ile organizatorice din cadrul Autorită</w:t>
      </w:r>
      <w:r w:rsidR="00EF231C">
        <w:t>ț</w:t>
      </w:r>
      <w:r>
        <w:t>ii Na</w:t>
      </w:r>
      <w:r w:rsidR="00EF231C">
        <w:t>ț</w:t>
      </w:r>
      <w:r>
        <w:t>ionale de Reglementare în Domeniul Energiei urmăresc respectarea prevederilor prezentului ordin.</w:t>
      </w:r>
    </w:p>
    <w:p w:rsidR="00DA7D30" w:rsidRDefault="00593E14" w:rsidP="001F3C42">
      <w:pPr>
        <w:spacing w:line="360" w:lineRule="auto"/>
        <w:jc w:val="both"/>
      </w:pPr>
      <w:r w:rsidRPr="006338DA">
        <w:rPr>
          <w:rFonts w:eastAsiaTheme="majorEastAsia" w:cstheme="majorBidi"/>
          <w:b/>
        </w:rPr>
        <w:t>Art. I</w:t>
      </w:r>
      <w:r w:rsidR="00466C46">
        <w:rPr>
          <w:rFonts w:eastAsiaTheme="majorEastAsia" w:cstheme="majorBidi"/>
          <w:b/>
        </w:rPr>
        <w:t>II</w:t>
      </w:r>
      <w:r w:rsidR="00294541">
        <w:rPr>
          <w:rFonts w:eastAsiaTheme="majorEastAsia" w:cstheme="majorBidi"/>
          <w:b/>
        </w:rPr>
        <w:t xml:space="preserve"> </w:t>
      </w:r>
      <w:r>
        <w:t>-</w:t>
      </w:r>
      <w:r w:rsidR="00294541">
        <w:t xml:space="preserve"> </w:t>
      </w:r>
      <w:r w:rsidR="00E848CA" w:rsidRPr="00E848CA">
        <w:t>Prezentul ordin se publică în Monitorul Oficial al României, Partea I</w:t>
      </w:r>
      <w:r>
        <w:t>.</w:t>
      </w:r>
    </w:p>
    <w:p w:rsidR="009D6C81" w:rsidRPr="0062548C" w:rsidRDefault="009D6C81" w:rsidP="001F3C42">
      <w:pPr>
        <w:spacing w:line="360" w:lineRule="auto"/>
        <w:jc w:val="both"/>
        <w:rPr>
          <w:sz w:val="10"/>
          <w:szCs w:val="10"/>
        </w:rPr>
      </w:pPr>
    </w:p>
    <w:p w:rsidR="00922003" w:rsidRDefault="00922003" w:rsidP="001F3C42">
      <w:pPr>
        <w:spacing w:line="360" w:lineRule="auto"/>
        <w:jc w:val="center"/>
        <w:rPr>
          <w:b/>
          <w:bCs/>
        </w:rPr>
      </w:pPr>
    </w:p>
    <w:p w:rsidR="009D6C81" w:rsidRPr="00524735" w:rsidRDefault="009D6C81" w:rsidP="001F3C42">
      <w:pPr>
        <w:spacing w:line="360" w:lineRule="auto"/>
        <w:jc w:val="center"/>
        <w:rPr>
          <w:b/>
          <w:bCs/>
        </w:rPr>
      </w:pPr>
      <w:r w:rsidRPr="00524735">
        <w:rPr>
          <w:b/>
          <w:bCs/>
        </w:rPr>
        <w:t>Pre</w:t>
      </w:r>
      <w:r>
        <w:rPr>
          <w:b/>
          <w:bCs/>
        </w:rPr>
        <w:t>ș</w:t>
      </w:r>
      <w:r w:rsidRPr="00524735">
        <w:rPr>
          <w:b/>
          <w:bCs/>
        </w:rPr>
        <w:t>edintele Autorită</w:t>
      </w:r>
      <w:r>
        <w:rPr>
          <w:b/>
          <w:bCs/>
        </w:rPr>
        <w:t>ț</w:t>
      </w:r>
      <w:r w:rsidRPr="00524735">
        <w:rPr>
          <w:b/>
          <w:bCs/>
        </w:rPr>
        <w:t>ii Na</w:t>
      </w:r>
      <w:r>
        <w:rPr>
          <w:b/>
          <w:bCs/>
        </w:rPr>
        <w:t>ț</w:t>
      </w:r>
      <w:r w:rsidRPr="00524735">
        <w:rPr>
          <w:b/>
          <w:bCs/>
        </w:rPr>
        <w:t>ionale de Reglementare în Domeniul Energiei,</w:t>
      </w:r>
    </w:p>
    <w:p w:rsidR="00B81D3D" w:rsidRDefault="007E0500" w:rsidP="001F3C42">
      <w:pPr>
        <w:spacing w:line="360" w:lineRule="auto"/>
        <w:jc w:val="center"/>
        <w:rPr>
          <w:b/>
          <w:bCs/>
        </w:rPr>
      </w:pPr>
      <w:r>
        <w:rPr>
          <w:b/>
          <w:bCs/>
        </w:rPr>
        <w:t>George – Sergiu NICULESCU</w:t>
      </w:r>
    </w:p>
    <w:p w:rsidR="00415F78" w:rsidRDefault="00415F78" w:rsidP="001F3C42">
      <w:pPr>
        <w:spacing w:line="360" w:lineRule="auto"/>
        <w:jc w:val="center"/>
        <w:rPr>
          <w:b/>
          <w:bCs/>
        </w:rPr>
      </w:pPr>
    </w:p>
    <w:p w:rsidR="00415F78" w:rsidRDefault="00415F78" w:rsidP="00A0078E">
      <w:pPr>
        <w:spacing w:line="360" w:lineRule="auto"/>
        <w:rPr>
          <w:b/>
          <w:bCs/>
        </w:rPr>
      </w:pPr>
      <w:bookmarkStart w:id="2" w:name="_GoBack"/>
      <w:bookmarkEnd w:id="2"/>
    </w:p>
    <w:p w:rsidR="00415F78" w:rsidRDefault="00415F78" w:rsidP="00415F78">
      <w:pPr>
        <w:spacing w:line="360" w:lineRule="auto"/>
        <w:rPr>
          <w:b/>
          <w:bCs/>
        </w:rPr>
        <w:sectPr w:rsidR="00415F78" w:rsidSect="00F10C87">
          <w:footerReference w:type="default" r:id="rId8"/>
          <w:pgSz w:w="12240" w:h="15840" w:code="1"/>
          <w:pgMar w:top="993" w:right="1183" w:bottom="851" w:left="1134" w:header="0" w:footer="690" w:gutter="0"/>
          <w:cols w:space="708"/>
          <w:noEndnote/>
          <w:docGrid w:linePitch="360"/>
        </w:sectPr>
      </w:pPr>
    </w:p>
    <w:p w:rsidR="0030695E" w:rsidRPr="000B15C9" w:rsidRDefault="0030695E" w:rsidP="0078771F">
      <w:pPr>
        <w:keepNext/>
        <w:keepLines/>
        <w:suppressAutoHyphens/>
        <w:autoSpaceDN w:val="0"/>
        <w:spacing w:before="120"/>
        <w:jc w:val="right"/>
        <w:textAlignment w:val="baseline"/>
        <w:outlineLvl w:val="0"/>
        <w:rPr>
          <w:rFonts w:eastAsiaTheme="majorEastAsia" w:cstheme="majorBidi"/>
          <w:b/>
        </w:rPr>
      </w:pPr>
      <w:r w:rsidRPr="000B15C9">
        <w:rPr>
          <w:rFonts w:eastAsiaTheme="majorEastAsia" w:cstheme="majorBidi"/>
          <w:b/>
        </w:rPr>
        <w:lastRenderedPageBreak/>
        <w:t>Anexa</w:t>
      </w:r>
      <w:r w:rsidR="000B15C9" w:rsidRPr="000B15C9">
        <w:rPr>
          <w:rFonts w:eastAsiaTheme="majorEastAsia" w:cstheme="majorBidi"/>
          <w:b/>
        </w:rPr>
        <w:t xml:space="preserve"> </w:t>
      </w:r>
      <w:r w:rsidR="0085178B">
        <w:rPr>
          <w:rFonts w:eastAsiaTheme="majorEastAsia" w:cstheme="majorBidi"/>
          <w:b/>
        </w:rPr>
        <w:t>nr. 1</w:t>
      </w:r>
    </w:p>
    <w:p w:rsidR="00B366F9" w:rsidRPr="000B15C9" w:rsidRDefault="0030695E" w:rsidP="0078771F">
      <w:pPr>
        <w:keepNext/>
        <w:keepLines/>
        <w:suppressAutoHyphens/>
        <w:autoSpaceDN w:val="0"/>
        <w:spacing w:before="120"/>
        <w:jc w:val="right"/>
        <w:textAlignment w:val="baseline"/>
        <w:outlineLvl w:val="0"/>
        <w:rPr>
          <w:rFonts w:eastAsiaTheme="majorEastAsia" w:cstheme="majorBidi"/>
          <w:b/>
        </w:rPr>
      </w:pPr>
      <w:r w:rsidRPr="000B15C9">
        <w:rPr>
          <w:rFonts w:eastAsiaTheme="majorEastAsia" w:cstheme="majorBidi"/>
          <w:b/>
        </w:rPr>
        <w:t>(</w:t>
      </w:r>
      <w:bookmarkStart w:id="3" w:name="_Hlk154137982"/>
      <w:r w:rsidR="000973E1" w:rsidRPr="000B15C9">
        <w:rPr>
          <w:rFonts w:eastAsiaTheme="majorEastAsia" w:cstheme="majorBidi"/>
          <w:b/>
        </w:rPr>
        <w:t xml:space="preserve">Anexa nr. </w:t>
      </w:r>
      <w:r w:rsidR="000B15C9" w:rsidRPr="000B15C9">
        <w:rPr>
          <w:rFonts w:eastAsiaTheme="majorEastAsia" w:cstheme="majorBidi"/>
          <w:b/>
        </w:rPr>
        <w:t>3</w:t>
      </w:r>
      <w:r w:rsidR="000973E1" w:rsidRPr="000B15C9">
        <w:rPr>
          <w:rFonts w:eastAsiaTheme="majorEastAsia" w:cstheme="majorBidi"/>
          <w:b/>
        </w:rPr>
        <w:t xml:space="preserve"> la </w:t>
      </w:r>
      <w:r w:rsidR="000B15C9" w:rsidRPr="000B15C9">
        <w:rPr>
          <w:rFonts w:eastAsiaTheme="majorEastAsia" w:cstheme="majorBidi"/>
          <w:b/>
        </w:rPr>
        <w:t>Condițile</w:t>
      </w:r>
      <w:r w:rsidR="00F57881">
        <w:rPr>
          <w:rFonts w:eastAsiaTheme="majorEastAsia" w:cstheme="majorBidi"/>
          <w:b/>
        </w:rPr>
        <w:t xml:space="preserve"> </w:t>
      </w:r>
      <w:r w:rsidR="000B15C9" w:rsidRPr="000B15C9">
        <w:rPr>
          <w:rFonts w:eastAsiaTheme="majorEastAsia" w:cstheme="majorBidi"/>
          <w:b/>
        </w:rPr>
        <w:t>-</w:t>
      </w:r>
      <w:r w:rsidR="00F57881">
        <w:rPr>
          <w:rFonts w:eastAsiaTheme="majorEastAsia" w:cstheme="majorBidi"/>
          <w:b/>
        </w:rPr>
        <w:t xml:space="preserve"> </w:t>
      </w:r>
      <w:r w:rsidR="000B15C9" w:rsidRPr="000B15C9">
        <w:rPr>
          <w:rFonts w:eastAsiaTheme="majorEastAsia" w:cstheme="majorBidi"/>
          <w:b/>
        </w:rPr>
        <w:t>cadru</w:t>
      </w:r>
      <w:bookmarkEnd w:id="3"/>
      <w:r w:rsidRPr="000B15C9">
        <w:rPr>
          <w:rFonts w:eastAsiaTheme="majorEastAsia" w:cstheme="majorBidi"/>
          <w:b/>
        </w:rPr>
        <w:t>)</w:t>
      </w:r>
      <w:r w:rsidR="00B366F9" w:rsidRPr="000B15C9">
        <w:rPr>
          <w:rFonts w:eastAsiaTheme="majorEastAsia" w:cstheme="majorBidi"/>
          <w:b/>
        </w:rPr>
        <w:t xml:space="preserve"> </w:t>
      </w:r>
    </w:p>
    <w:p w:rsidR="00B81D3D" w:rsidRDefault="000B15C9" w:rsidP="00A61ECC">
      <w:pPr>
        <w:keepNext/>
        <w:keepLines/>
        <w:suppressAutoHyphens/>
        <w:spacing w:line="276" w:lineRule="auto"/>
        <w:jc w:val="center"/>
        <w:textAlignment w:val="baseline"/>
        <w:outlineLvl w:val="0"/>
        <w:rPr>
          <w:rFonts w:eastAsiaTheme="majorEastAsia" w:cstheme="majorBidi"/>
          <w:b/>
        </w:rPr>
      </w:pPr>
      <w:r w:rsidRPr="000B15C9">
        <w:rPr>
          <w:rFonts w:eastAsiaTheme="majorEastAsia" w:cstheme="majorBidi"/>
          <w:b/>
        </w:rPr>
        <w:t>Indicatorii de performanță a implementării SMI</w:t>
      </w:r>
      <w:r w:rsidR="00DA6866">
        <w:rPr>
          <w:rFonts w:eastAsiaTheme="majorEastAsia" w:cstheme="majorBidi"/>
          <w:b/>
        </w:rPr>
        <w:t>,</w:t>
      </w:r>
      <w:r w:rsidR="00A463A4">
        <w:rPr>
          <w:rFonts w:eastAsiaTheme="majorEastAsia" w:cstheme="majorBidi"/>
          <w:b/>
        </w:rPr>
        <w:t xml:space="preserve"> </w:t>
      </w:r>
    </w:p>
    <w:p w:rsidR="000B15C9" w:rsidRPr="000B15C9" w:rsidRDefault="00DA6866" w:rsidP="00A61ECC">
      <w:pPr>
        <w:keepNext/>
        <w:keepLines/>
        <w:suppressAutoHyphens/>
        <w:spacing w:line="276" w:lineRule="auto"/>
        <w:jc w:val="center"/>
        <w:textAlignment w:val="baseline"/>
        <w:outlineLvl w:val="0"/>
        <w:rPr>
          <w:rFonts w:eastAsiaTheme="majorEastAsia" w:cstheme="majorBidi"/>
          <w:b/>
        </w:rPr>
      </w:pPr>
      <w:r>
        <w:rPr>
          <w:rFonts w:eastAsiaTheme="majorEastAsia" w:cstheme="majorBidi"/>
          <w:b/>
        </w:rPr>
        <w:t xml:space="preserve">calculaţi pe baza datelor cumulate </w:t>
      </w:r>
      <w:r w:rsidR="00A463A4">
        <w:rPr>
          <w:rFonts w:eastAsiaTheme="majorEastAsia" w:cstheme="majorBidi"/>
          <w:b/>
        </w:rPr>
        <w:t>aferen</w:t>
      </w:r>
      <w:r>
        <w:rPr>
          <w:rFonts w:eastAsiaTheme="majorEastAsia" w:cstheme="majorBidi"/>
          <w:b/>
        </w:rPr>
        <w:t>te</w:t>
      </w:r>
      <w:r w:rsidR="00A463A4">
        <w:rPr>
          <w:rFonts w:eastAsiaTheme="majorEastAsia" w:cstheme="majorBidi"/>
          <w:b/>
        </w:rPr>
        <w:t xml:space="preserve"> </w:t>
      </w:r>
      <w:r w:rsidR="00A463A4" w:rsidRPr="009D3A83">
        <w:rPr>
          <w:rFonts w:eastAsiaTheme="majorEastAsia" w:cstheme="majorBidi"/>
          <w:b/>
        </w:rPr>
        <w:t xml:space="preserve">perioadei </w:t>
      </w:r>
      <w:r w:rsidRPr="009D3A83">
        <w:rPr>
          <w:rFonts w:eastAsiaTheme="majorEastAsia" w:cstheme="majorBidi"/>
          <w:b/>
        </w:rPr>
        <w:t>201</w:t>
      </w:r>
      <w:r w:rsidR="00AA0D47">
        <w:rPr>
          <w:rFonts w:eastAsiaTheme="majorEastAsia" w:cstheme="majorBidi"/>
          <w:b/>
        </w:rPr>
        <w:t>5</w:t>
      </w:r>
      <w:r w:rsidRPr="009D3A83">
        <w:rPr>
          <w:rFonts w:eastAsiaTheme="majorEastAsia" w:cstheme="majorBidi"/>
          <w:b/>
        </w:rPr>
        <w:t xml:space="preserve"> -</w:t>
      </w:r>
      <w:r w:rsidR="00EF7A03">
        <w:rPr>
          <w:rFonts w:eastAsiaTheme="majorEastAsia" w:cstheme="majorBidi"/>
          <w:b/>
        </w:rPr>
        <w:t xml:space="preserve"> </w:t>
      </w:r>
      <w:r w:rsidR="00A6088C">
        <w:rPr>
          <w:rFonts w:eastAsiaTheme="majorEastAsia" w:cstheme="majorBidi"/>
          <w:b/>
        </w:rPr>
        <w:t>anul de raportare</w:t>
      </w:r>
    </w:p>
    <w:p w:rsidR="000B15C9" w:rsidRPr="00773D40" w:rsidRDefault="000B15C9" w:rsidP="000B15C9">
      <w:pPr>
        <w:suppressAutoHyphens/>
        <w:spacing w:before="120" w:after="120"/>
        <w:textAlignment w:val="baseline"/>
        <w:rPr>
          <w:rFonts w:eastAsia="Calibri"/>
        </w:rPr>
      </w:pPr>
      <w:r w:rsidRPr="00773D40">
        <w:rPr>
          <w:rFonts w:eastAsia="Calibri"/>
        </w:rPr>
        <w:t>Denumire operator de distribuție concesionar al energiei electrice:</w:t>
      </w:r>
    </w:p>
    <w:p w:rsidR="000B15C9" w:rsidRDefault="00A6088C" w:rsidP="009F0AF1">
      <w:pPr>
        <w:suppressAutoHyphens/>
        <w:spacing w:before="120"/>
        <w:textAlignment w:val="baseline"/>
        <w:rPr>
          <w:rFonts w:eastAsia="Calibri"/>
        </w:rPr>
      </w:pPr>
      <w:r>
        <w:rPr>
          <w:rFonts w:eastAsia="Calibri"/>
        </w:rPr>
        <w:t>Anul</w:t>
      </w:r>
      <w:r w:rsidRPr="00773D40">
        <w:rPr>
          <w:rFonts w:eastAsia="Calibri"/>
        </w:rPr>
        <w:t xml:space="preserve"> </w:t>
      </w:r>
      <w:r w:rsidR="000B15C9" w:rsidRPr="00773D40">
        <w:rPr>
          <w:rFonts w:eastAsia="Calibri"/>
        </w:rPr>
        <w:t>de raportare:</w:t>
      </w:r>
    </w:p>
    <w:p w:rsidR="005E17CB" w:rsidRPr="00BF7079" w:rsidRDefault="005E17CB" w:rsidP="009F0AF1">
      <w:pPr>
        <w:suppressAutoHyphens/>
        <w:spacing w:after="120"/>
        <w:jc w:val="right"/>
        <w:textAlignment w:val="baseline"/>
        <w:rPr>
          <w:rFonts w:eastAsia="Calibri"/>
          <w:b/>
        </w:rPr>
      </w:pPr>
      <w:r w:rsidRPr="00BF7079">
        <w:rPr>
          <w:rFonts w:eastAsia="Calibri"/>
          <w:b/>
        </w:rPr>
        <w:t>Tabelul nr. 1</w:t>
      </w:r>
    </w:p>
    <w:tbl>
      <w:tblPr>
        <w:tblW w:w="52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3118"/>
        <w:gridCol w:w="2694"/>
        <w:gridCol w:w="1131"/>
        <w:gridCol w:w="4303"/>
        <w:gridCol w:w="2077"/>
      </w:tblGrid>
      <w:tr w:rsidR="009F0AF1" w:rsidRPr="00B640E4" w:rsidTr="006D02E3">
        <w:trPr>
          <w:tblHeader/>
        </w:trPr>
        <w:tc>
          <w:tcPr>
            <w:tcW w:w="253" w:type="pct"/>
            <w:shd w:val="clear" w:color="auto" w:fill="auto"/>
            <w:tcMar>
              <w:top w:w="0" w:type="dxa"/>
              <w:left w:w="108" w:type="dxa"/>
              <w:bottom w:w="0" w:type="dxa"/>
              <w:right w:w="108" w:type="dxa"/>
            </w:tcMar>
            <w:vAlign w:val="center"/>
          </w:tcPr>
          <w:p w:rsidR="00775E00" w:rsidRPr="00B640E4" w:rsidRDefault="00775E00" w:rsidP="004C61AD">
            <w:pPr>
              <w:jc w:val="center"/>
              <w:rPr>
                <w:b/>
                <w:sz w:val="20"/>
                <w:szCs w:val="20"/>
              </w:rPr>
            </w:pPr>
            <w:r w:rsidRPr="00B640E4">
              <w:rPr>
                <w:b/>
                <w:sz w:val="20"/>
                <w:szCs w:val="20"/>
              </w:rPr>
              <w:t>Nr. crt.</w:t>
            </w:r>
          </w:p>
        </w:tc>
        <w:tc>
          <w:tcPr>
            <w:tcW w:w="1111" w:type="pct"/>
            <w:shd w:val="clear" w:color="auto" w:fill="auto"/>
            <w:tcMar>
              <w:top w:w="0" w:type="dxa"/>
              <w:left w:w="108" w:type="dxa"/>
              <w:bottom w:w="0" w:type="dxa"/>
              <w:right w:w="108" w:type="dxa"/>
            </w:tcMar>
            <w:vAlign w:val="center"/>
          </w:tcPr>
          <w:p w:rsidR="00775E00" w:rsidRPr="00B640E4" w:rsidRDefault="00775E00" w:rsidP="004C61AD">
            <w:pPr>
              <w:jc w:val="center"/>
              <w:rPr>
                <w:b/>
                <w:sz w:val="20"/>
                <w:szCs w:val="20"/>
              </w:rPr>
            </w:pPr>
            <w:r w:rsidRPr="00B640E4">
              <w:rPr>
                <w:b/>
                <w:sz w:val="20"/>
                <w:szCs w:val="20"/>
              </w:rPr>
              <w:t>Denumire indicator</w:t>
            </w:r>
          </w:p>
        </w:tc>
        <w:tc>
          <w:tcPr>
            <w:tcW w:w="960" w:type="pct"/>
            <w:shd w:val="clear" w:color="auto" w:fill="auto"/>
            <w:tcMar>
              <w:top w:w="0" w:type="dxa"/>
              <w:left w:w="108" w:type="dxa"/>
              <w:bottom w:w="0" w:type="dxa"/>
              <w:right w:w="108" w:type="dxa"/>
            </w:tcMar>
            <w:vAlign w:val="center"/>
          </w:tcPr>
          <w:p w:rsidR="00775E00" w:rsidRPr="00B640E4" w:rsidRDefault="00775E00" w:rsidP="004C61AD">
            <w:pPr>
              <w:jc w:val="center"/>
              <w:rPr>
                <w:b/>
                <w:sz w:val="20"/>
                <w:szCs w:val="20"/>
              </w:rPr>
            </w:pPr>
            <w:r>
              <w:rPr>
                <w:b/>
                <w:sz w:val="20"/>
                <w:szCs w:val="20"/>
              </w:rPr>
              <w:t>Simbol indicator/</w:t>
            </w:r>
            <w:r w:rsidRPr="00B640E4">
              <w:rPr>
                <w:b/>
                <w:sz w:val="20"/>
                <w:szCs w:val="20"/>
              </w:rPr>
              <w:t>Formula de calcul</w:t>
            </w:r>
          </w:p>
        </w:tc>
        <w:tc>
          <w:tcPr>
            <w:tcW w:w="403" w:type="pct"/>
            <w:vAlign w:val="center"/>
          </w:tcPr>
          <w:p w:rsidR="00775E00" w:rsidRDefault="00775E00" w:rsidP="00775E00">
            <w:pPr>
              <w:jc w:val="center"/>
              <w:rPr>
                <w:b/>
                <w:sz w:val="20"/>
                <w:szCs w:val="20"/>
              </w:rPr>
            </w:pPr>
            <w:r>
              <w:rPr>
                <w:b/>
                <w:sz w:val="20"/>
                <w:szCs w:val="20"/>
              </w:rPr>
              <w:t>Valoare indicator</w:t>
            </w:r>
          </w:p>
          <w:p w:rsidR="00775E00" w:rsidRPr="00B640E4" w:rsidRDefault="00775E00" w:rsidP="00775E00">
            <w:pPr>
              <w:jc w:val="center"/>
              <w:rPr>
                <w:b/>
                <w:sz w:val="20"/>
                <w:szCs w:val="20"/>
              </w:rPr>
            </w:pPr>
          </w:p>
        </w:tc>
        <w:tc>
          <w:tcPr>
            <w:tcW w:w="1533" w:type="pct"/>
            <w:shd w:val="clear" w:color="auto" w:fill="auto"/>
            <w:tcMar>
              <w:top w:w="0" w:type="dxa"/>
              <w:left w:w="108" w:type="dxa"/>
              <w:bottom w:w="0" w:type="dxa"/>
              <w:right w:w="108" w:type="dxa"/>
            </w:tcMar>
            <w:vAlign w:val="center"/>
          </w:tcPr>
          <w:p w:rsidR="00775E00" w:rsidRPr="00B640E4" w:rsidRDefault="00775E00" w:rsidP="004C61AD">
            <w:pPr>
              <w:jc w:val="center"/>
              <w:rPr>
                <w:b/>
                <w:sz w:val="20"/>
                <w:szCs w:val="20"/>
              </w:rPr>
            </w:pPr>
            <w:r w:rsidRPr="00B640E4">
              <w:rPr>
                <w:b/>
                <w:sz w:val="20"/>
                <w:szCs w:val="20"/>
              </w:rPr>
              <w:t>Explicație termeni formulă</w:t>
            </w:r>
          </w:p>
        </w:tc>
        <w:tc>
          <w:tcPr>
            <w:tcW w:w="740" w:type="pct"/>
            <w:shd w:val="clear" w:color="auto" w:fill="auto"/>
            <w:tcMar>
              <w:top w:w="0" w:type="dxa"/>
              <w:left w:w="108" w:type="dxa"/>
              <w:bottom w:w="0" w:type="dxa"/>
              <w:right w:w="108" w:type="dxa"/>
            </w:tcMar>
            <w:vAlign w:val="center"/>
          </w:tcPr>
          <w:p w:rsidR="00775E00" w:rsidRPr="00B640E4" w:rsidRDefault="00775E00" w:rsidP="004C61AD">
            <w:pPr>
              <w:jc w:val="center"/>
              <w:rPr>
                <w:b/>
                <w:sz w:val="20"/>
                <w:szCs w:val="20"/>
              </w:rPr>
            </w:pPr>
            <w:r w:rsidRPr="00B640E4">
              <w:rPr>
                <w:b/>
                <w:sz w:val="20"/>
                <w:szCs w:val="20"/>
              </w:rPr>
              <w:t>Observații</w:t>
            </w:r>
          </w:p>
        </w:tc>
      </w:tr>
      <w:tr w:rsidR="009F0AF1" w:rsidRPr="00B640E4" w:rsidTr="006D02E3">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775E00" w:rsidRPr="00B640E4" w:rsidRDefault="00775E00" w:rsidP="00775E00">
            <w:pPr>
              <w:rPr>
                <w:sz w:val="20"/>
                <w:szCs w:val="20"/>
              </w:rPr>
            </w:pPr>
            <w:r w:rsidRPr="00B640E4">
              <w:rPr>
                <w:sz w:val="20"/>
                <w:szCs w:val="20"/>
              </w:rPr>
              <w:t xml:space="preserve">Gradul </w:t>
            </w:r>
            <w:r w:rsidR="000F677E">
              <w:rPr>
                <w:sz w:val="20"/>
                <w:szCs w:val="20"/>
              </w:rPr>
              <w:t xml:space="preserve">total </w:t>
            </w:r>
            <w:r w:rsidRPr="00B640E4">
              <w:rPr>
                <w:sz w:val="20"/>
                <w:szCs w:val="20"/>
              </w:rPr>
              <w:t>de implementare a SMI</w:t>
            </w:r>
            <w:r w:rsidR="008F79DD">
              <w:rPr>
                <w:b/>
              </w:rPr>
              <w:t>*</w:t>
            </w:r>
          </w:p>
          <w:p w:rsidR="00775E00" w:rsidRPr="00B640E4" w:rsidRDefault="00775E00" w:rsidP="00775E00">
            <w:pPr>
              <w:rPr>
                <w:sz w:val="20"/>
                <w:szCs w:val="20"/>
              </w:rPr>
            </w:pPr>
          </w:p>
          <w:p w:rsidR="00775E00" w:rsidRPr="00B640E4" w:rsidRDefault="00775E00" w:rsidP="00775E00">
            <w:pPr>
              <w:tabs>
                <w:tab w:val="left" w:pos="349"/>
              </w:tabs>
              <w:ind w:left="69"/>
              <w:rPr>
                <w:sz w:val="20"/>
                <w:szCs w:val="20"/>
              </w:rPr>
            </w:pPr>
            <w:r w:rsidRPr="00D4214F">
              <w:rPr>
                <w:b/>
                <w:sz w:val="20"/>
                <w:szCs w:val="20"/>
              </w:rPr>
              <w:t>Notă</w:t>
            </w:r>
            <w:r w:rsidRPr="00B640E4">
              <w:rPr>
                <w:b/>
              </w:rPr>
              <w:t xml:space="preserve">: </w:t>
            </w:r>
            <w:r w:rsidR="008F79DD">
              <w:rPr>
                <w:b/>
                <w:sz w:val="18"/>
                <w:szCs w:val="18"/>
              </w:rPr>
              <w:t>*</w:t>
            </w:r>
            <w:r w:rsidRPr="00B640E4">
              <w:rPr>
                <w:sz w:val="20"/>
                <w:szCs w:val="20"/>
              </w:rPr>
              <w:t xml:space="preserve"> </w:t>
            </w:r>
            <w:r w:rsidR="008F79DD" w:rsidRPr="008F79DD">
              <w:rPr>
                <w:sz w:val="18"/>
                <w:szCs w:val="18"/>
              </w:rPr>
              <w:t xml:space="preserve">- </w:t>
            </w:r>
            <w:r w:rsidRPr="008F79DD">
              <w:rPr>
                <w:i/>
                <w:sz w:val="18"/>
                <w:szCs w:val="18"/>
              </w:rPr>
              <w:t>Se va detalia structura implementării SMI realizate pe tipuri de utilizatori conform tabelului nr. 2</w:t>
            </w:r>
          </w:p>
        </w:tc>
        <w:tc>
          <w:tcPr>
            <w:tcW w:w="960" w:type="pct"/>
            <w:shd w:val="clear" w:color="auto" w:fill="auto"/>
            <w:tcMar>
              <w:top w:w="0" w:type="dxa"/>
              <w:left w:w="108" w:type="dxa"/>
              <w:bottom w:w="0" w:type="dxa"/>
              <w:right w:w="108" w:type="dxa"/>
            </w:tcMar>
            <w:vAlign w:val="center"/>
          </w:tcPr>
          <w:p w:rsidR="00775E00" w:rsidRPr="00A41A93" w:rsidRDefault="00BE141B" w:rsidP="00775E00">
            <w:pPr>
              <w:jc w:val="center"/>
              <w:rPr>
                <w:sz w:val="20"/>
                <w:szCs w:val="20"/>
              </w:rPr>
            </w:pPr>
            <m:oMathPara>
              <m:oMathParaPr>
                <m:jc m:val="center"/>
              </m:oMathParaPr>
              <m:oMath>
                <m:sSub>
                  <m:sSubPr>
                    <m:ctrlPr>
                      <w:rPr>
                        <w:rFonts w:ascii="Cambria Math" w:hAnsi="Cambria Math"/>
                        <w:sz w:val="20"/>
                        <w:szCs w:val="20"/>
                      </w:rPr>
                    </m:ctrlPr>
                  </m:sSubPr>
                  <m:e>
                    <m:r>
                      <w:rPr>
                        <w:rFonts w:ascii="Cambria Math" w:hAnsi="Cambria Math"/>
                        <w:sz w:val="20"/>
                        <w:szCs w:val="20"/>
                      </w:rPr>
                      <m:t>gti</m:t>
                    </m:r>
                  </m:e>
                  <m:sub>
                    <m:r>
                      <w:rPr>
                        <w:rFonts w:ascii="Cambria Math" w:hAnsi="Cambria Math"/>
                        <w:sz w:val="20"/>
                        <w:szCs w:val="20"/>
                      </w:rPr>
                      <m:t>SMI</m:t>
                    </m:r>
                  </m:sub>
                </m:sSub>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TLCSMI</m:t>
                        </m:r>
                      </m:sub>
                    </m:sSub>
                  </m:num>
                  <m:den>
                    <m:sSub>
                      <m:sSubPr>
                        <m:ctrlPr>
                          <w:rPr>
                            <w:rFonts w:ascii="Cambria Math" w:hAnsi="Cambria Math"/>
                            <w:sz w:val="20"/>
                            <w:szCs w:val="20"/>
                          </w:rPr>
                        </m:ctrlPr>
                      </m:sSubPr>
                      <m:e>
                        <m:r>
                          <w:rPr>
                            <w:rFonts w:ascii="Cambria Math" w:hAnsi="Cambria Math"/>
                            <w:sz w:val="20"/>
                            <w:szCs w:val="20"/>
                          </w:rPr>
                          <m:t>nT</m:t>
                        </m:r>
                      </m:e>
                      <m:sub>
                        <m:r>
                          <w:rPr>
                            <w:rFonts w:ascii="Cambria Math" w:hAnsi="Cambria Math"/>
                            <w:sz w:val="20"/>
                            <w:szCs w:val="20"/>
                          </w:rPr>
                          <m:t>LCOD</m:t>
                        </m:r>
                      </m:sub>
                    </m:sSub>
                  </m:den>
                </m:f>
                <m:r>
                  <w:rPr>
                    <w:rFonts w:ascii="Cambria Math" w:hAnsi="Cambria Math"/>
                    <w:sz w:val="20"/>
                    <w:szCs w:val="20"/>
                  </w:rPr>
                  <m:t>*100 [%]</m:t>
                </m:r>
              </m:oMath>
            </m:oMathPara>
          </w:p>
        </w:tc>
        <w:tc>
          <w:tcPr>
            <w:tcW w:w="403" w:type="pct"/>
          </w:tcPr>
          <w:p w:rsidR="00775E00" w:rsidRDefault="00775E00" w:rsidP="00775E00">
            <w:pPr>
              <w:numPr>
                <w:ilvl w:val="0"/>
                <w:numId w:val="23"/>
              </w:numPr>
              <w:suppressAutoHyphens/>
              <w:autoSpaceDN w:val="0"/>
              <w:spacing w:line="247" w:lineRule="auto"/>
              <w:ind w:left="0" w:hanging="221"/>
              <w:textAlignment w:val="baseline"/>
              <w:rPr>
                <w:rFonts w:eastAsia="Calibri"/>
                <w:sz w:val="20"/>
                <w:szCs w:val="20"/>
              </w:rPr>
            </w:pPr>
          </w:p>
        </w:tc>
        <w:tc>
          <w:tcPr>
            <w:tcW w:w="1533" w:type="pct"/>
            <w:shd w:val="clear" w:color="auto" w:fill="auto"/>
            <w:tcMar>
              <w:top w:w="0" w:type="dxa"/>
              <w:left w:w="108" w:type="dxa"/>
              <w:bottom w:w="0" w:type="dxa"/>
              <w:right w:w="108" w:type="dxa"/>
            </w:tcMar>
            <w:vAlign w:val="center"/>
          </w:tcPr>
          <w:p w:rsidR="00056C55" w:rsidRPr="00056C55" w:rsidRDefault="00BE141B" w:rsidP="00775E00">
            <w:pPr>
              <w:numPr>
                <w:ilvl w:val="0"/>
                <w:numId w:val="23"/>
              </w:numPr>
              <w:suppressAutoHyphens/>
              <w:autoSpaceDN w:val="0"/>
              <w:spacing w:line="247" w:lineRule="auto"/>
              <w:ind w:left="0" w:hanging="221"/>
              <w:textAlignment w:val="baseline"/>
              <w:rPr>
                <w:sz w:val="18"/>
                <w:szCs w:val="18"/>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TLCSMI</m:t>
                  </m:r>
                </m:sub>
              </m:sSub>
            </m:oMath>
            <w:r w:rsidR="00775E00" w:rsidRPr="00B640E4">
              <w:rPr>
                <w:rFonts w:eastAsia="Times New Roman"/>
                <w:sz w:val="20"/>
                <w:szCs w:val="20"/>
              </w:rPr>
              <w:t xml:space="preserve"> - </w:t>
            </w:r>
            <w:r w:rsidR="00775E00" w:rsidRPr="00AF5416">
              <w:rPr>
                <w:rFonts w:eastAsia="Times New Roman"/>
                <w:sz w:val="18"/>
                <w:szCs w:val="18"/>
              </w:rPr>
              <w:t xml:space="preserve">numărul total de </w:t>
            </w:r>
            <w:r w:rsidR="00B8080B">
              <w:rPr>
                <w:rFonts w:eastAsia="Times New Roman"/>
                <w:sz w:val="18"/>
                <w:szCs w:val="18"/>
              </w:rPr>
              <w:t>locuri de consum/de producere și consum</w:t>
            </w:r>
            <w:r w:rsidR="00775E00" w:rsidRPr="00AF5416">
              <w:rPr>
                <w:rFonts w:eastAsia="Times New Roman"/>
                <w:sz w:val="18"/>
                <w:szCs w:val="18"/>
              </w:rPr>
              <w:t xml:space="preserve"> integra</w:t>
            </w:r>
            <w:r w:rsidR="00B8080B">
              <w:rPr>
                <w:rFonts w:eastAsia="Times New Roman"/>
                <w:sz w:val="18"/>
                <w:szCs w:val="18"/>
              </w:rPr>
              <w:t>te</w:t>
            </w:r>
            <w:r w:rsidR="00775E00" w:rsidRPr="00AF5416">
              <w:rPr>
                <w:rFonts w:eastAsia="Times New Roman"/>
                <w:sz w:val="18"/>
                <w:szCs w:val="18"/>
              </w:rPr>
              <w:t xml:space="preserve"> în SMI până la sfârșitul anului de raportare</w:t>
            </w:r>
            <w:r w:rsidR="004A74A9">
              <w:rPr>
                <w:rFonts w:eastAsia="Times New Roman"/>
                <w:sz w:val="18"/>
                <w:szCs w:val="18"/>
              </w:rPr>
              <w:t xml:space="preserve"> </w:t>
            </w:r>
            <w:r w:rsidR="004A74A9" w:rsidRPr="004A74A9">
              <w:rPr>
                <w:rFonts w:eastAsia="Times New Roman"/>
                <w:sz w:val="18"/>
                <w:szCs w:val="18"/>
              </w:rPr>
              <w:t>(inclusiv utilizatorii integrați în faza proiectelor pilot – 2014 – 2018)</w:t>
            </w:r>
            <w:r w:rsidR="00056C55">
              <w:rPr>
                <w:rFonts w:eastAsia="Times New Roman"/>
                <w:sz w:val="18"/>
                <w:szCs w:val="18"/>
              </w:rPr>
              <w:t>:</w:t>
            </w:r>
          </w:p>
          <w:p w:rsidR="004A74A9" w:rsidRPr="004A74A9" w:rsidRDefault="004A74A9" w:rsidP="00775E00">
            <w:pPr>
              <w:numPr>
                <w:ilvl w:val="0"/>
                <w:numId w:val="23"/>
              </w:numPr>
              <w:suppressAutoHyphens/>
              <w:autoSpaceDN w:val="0"/>
              <w:spacing w:line="247" w:lineRule="auto"/>
              <w:ind w:left="0" w:hanging="221"/>
              <w:textAlignment w:val="baseline"/>
              <w:rPr>
                <w:sz w:val="18"/>
                <w:szCs w:val="18"/>
              </w:rPr>
            </w:pPr>
            <w:r>
              <w:rPr>
                <w:rFonts w:eastAsia="Times New Roman"/>
                <w:sz w:val="18"/>
                <w:szCs w:val="18"/>
              </w:rPr>
              <w:t xml:space="preserve">a) </w:t>
            </w:r>
            <w:r w:rsidR="00775E00" w:rsidRPr="00AF5416">
              <w:rPr>
                <w:rFonts w:eastAsia="Times New Roman"/>
                <w:sz w:val="18"/>
                <w:szCs w:val="18"/>
              </w:rPr>
              <w:t>din zonele de implementare planificate conform calendarului aprobat</w:t>
            </w:r>
            <w:r>
              <w:rPr>
                <w:rFonts w:eastAsia="Times New Roman"/>
                <w:sz w:val="18"/>
                <w:szCs w:val="18"/>
              </w:rPr>
              <w:t>,</w:t>
            </w:r>
          </w:p>
          <w:p w:rsidR="004A74A9" w:rsidRPr="004A74A9" w:rsidRDefault="004A74A9" w:rsidP="00775E00">
            <w:pPr>
              <w:numPr>
                <w:ilvl w:val="0"/>
                <w:numId w:val="23"/>
              </w:numPr>
              <w:suppressAutoHyphens/>
              <w:autoSpaceDN w:val="0"/>
              <w:spacing w:line="247" w:lineRule="auto"/>
              <w:ind w:left="0" w:hanging="221"/>
              <w:textAlignment w:val="baseline"/>
              <w:rPr>
                <w:sz w:val="18"/>
                <w:szCs w:val="18"/>
              </w:rPr>
            </w:pPr>
            <w:r>
              <w:rPr>
                <w:rFonts w:eastAsia="Times New Roman"/>
                <w:sz w:val="18"/>
                <w:szCs w:val="18"/>
              </w:rPr>
              <w:t xml:space="preserve">b) </w:t>
            </w:r>
            <w:r w:rsidR="00775E00" w:rsidRPr="00AF5416">
              <w:rPr>
                <w:rFonts w:eastAsia="Times New Roman"/>
                <w:sz w:val="18"/>
                <w:szCs w:val="18"/>
              </w:rPr>
              <w:t>din afara zonelor de implementare, integra</w:t>
            </w:r>
            <w:r w:rsidR="004E498C">
              <w:rPr>
                <w:rFonts w:eastAsia="Times New Roman"/>
                <w:sz w:val="18"/>
                <w:szCs w:val="18"/>
              </w:rPr>
              <w:t>te</w:t>
            </w:r>
            <w:r w:rsidR="00775E00" w:rsidRPr="00AF5416">
              <w:rPr>
                <w:rFonts w:eastAsia="Times New Roman"/>
                <w:sz w:val="18"/>
                <w:szCs w:val="18"/>
              </w:rPr>
              <w:t xml:space="preserve"> în SMI în condițiile art. 66 alin. (3) lit. a) din Legea 123/2012 cu modificările și completările ulterioare</w:t>
            </w:r>
            <w:r w:rsidR="0079146E">
              <w:rPr>
                <w:rFonts w:eastAsia="Times New Roman"/>
                <w:sz w:val="18"/>
                <w:szCs w:val="18"/>
              </w:rPr>
              <w:t xml:space="preserve">, </w:t>
            </w:r>
          </w:p>
          <w:p w:rsidR="004A74A9" w:rsidRPr="004A74A9" w:rsidRDefault="004A74A9" w:rsidP="00775E00">
            <w:pPr>
              <w:numPr>
                <w:ilvl w:val="0"/>
                <w:numId w:val="23"/>
              </w:numPr>
              <w:suppressAutoHyphens/>
              <w:autoSpaceDN w:val="0"/>
              <w:spacing w:line="247" w:lineRule="auto"/>
              <w:ind w:left="0" w:hanging="221"/>
              <w:textAlignment w:val="baseline"/>
              <w:rPr>
                <w:sz w:val="18"/>
                <w:szCs w:val="18"/>
              </w:rPr>
            </w:pPr>
            <w:r>
              <w:rPr>
                <w:rFonts w:eastAsia="Times New Roman"/>
                <w:sz w:val="18"/>
                <w:szCs w:val="18"/>
              </w:rPr>
              <w:t xml:space="preserve">c) </w:t>
            </w:r>
            <w:r w:rsidRPr="00AF5416">
              <w:rPr>
                <w:rFonts w:eastAsia="Times New Roman"/>
                <w:sz w:val="18"/>
                <w:szCs w:val="18"/>
              </w:rPr>
              <w:t>din afara zonelor de implementare, integra</w:t>
            </w:r>
            <w:r>
              <w:rPr>
                <w:rFonts w:eastAsia="Times New Roman"/>
                <w:sz w:val="18"/>
                <w:szCs w:val="18"/>
              </w:rPr>
              <w:t>te</w:t>
            </w:r>
            <w:r w:rsidRPr="00AF5416">
              <w:rPr>
                <w:rFonts w:eastAsia="Times New Roman"/>
                <w:sz w:val="18"/>
                <w:szCs w:val="18"/>
              </w:rPr>
              <w:t xml:space="preserve"> în SMI în condițiile </w:t>
            </w:r>
            <w:r w:rsidR="00BE46D8">
              <w:rPr>
                <w:rFonts w:eastAsia="Times New Roman"/>
                <w:sz w:val="18"/>
                <w:szCs w:val="18"/>
              </w:rPr>
              <w:t>art. 20</w:t>
            </w:r>
            <w:r w:rsidR="00775E00" w:rsidRPr="00AF5416">
              <w:rPr>
                <w:rFonts w:eastAsia="Times New Roman"/>
                <w:sz w:val="18"/>
                <w:szCs w:val="18"/>
              </w:rPr>
              <w:t xml:space="preserve"> și ale art. 21 </w:t>
            </w:r>
            <w:r w:rsidR="00B864CA" w:rsidRPr="00B864CA">
              <w:rPr>
                <w:rFonts w:eastAsia="Times New Roman"/>
                <w:sz w:val="18"/>
                <w:szCs w:val="18"/>
              </w:rPr>
              <w:t xml:space="preserve">alin. </w:t>
            </w:r>
            <w:r w:rsidR="00775E00" w:rsidRPr="00AF5416">
              <w:rPr>
                <w:rFonts w:eastAsia="Times New Roman"/>
                <w:sz w:val="18"/>
                <w:szCs w:val="18"/>
              </w:rPr>
              <w:t>din condițiile</w:t>
            </w:r>
            <w:r w:rsidR="00156398">
              <w:rPr>
                <w:rFonts w:eastAsia="Times New Roman"/>
                <w:sz w:val="18"/>
                <w:szCs w:val="18"/>
              </w:rPr>
              <w:t xml:space="preserve"> </w:t>
            </w:r>
            <w:r w:rsidR="00775E00" w:rsidRPr="00AF5416">
              <w:rPr>
                <w:rFonts w:eastAsia="Times New Roman"/>
                <w:sz w:val="18"/>
                <w:szCs w:val="18"/>
              </w:rPr>
              <w:t>-</w:t>
            </w:r>
            <w:r w:rsidR="00156398">
              <w:rPr>
                <w:rFonts w:eastAsia="Times New Roman"/>
                <w:sz w:val="18"/>
                <w:szCs w:val="18"/>
              </w:rPr>
              <w:t xml:space="preserve"> </w:t>
            </w:r>
            <w:r w:rsidR="00775E00" w:rsidRPr="00AF5416">
              <w:rPr>
                <w:rFonts w:eastAsia="Times New Roman"/>
                <w:sz w:val="18"/>
                <w:szCs w:val="18"/>
              </w:rPr>
              <w:t>cadru pentru implementarea SMI aprobate prin Ordinul președintelui ANRE nr. 177/2019 cu modificările și completările ulterioare</w:t>
            </w:r>
            <w:r w:rsidR="00F665E6">
              <w:rPr>
                <w:rFonts w:eastAsia="Times New Roman"/>
                <w:sz w:val="18"/>
                <w:szCs w:val="18"/>
              </w:rPr>
              <w:t>;</w:t>
            </w:r>
          </w:p>
          <w:p w:rsidR="00775E00" w:rsidRPr="00B640E4" w:rsidRDefault="00BE141B" w:rsidP="00775E00">
            <w:pPr>
              <w:numPr>
                <w:ilvl w:val="0"/>
                <w:numId w:val="23"/>
              </w:numPr>
              <w:suppressAutoHyphens/>
              <w:autoSpaceDN w:val="0"/>
              <w:spacing w:before="120"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nT</m:t>
                  </m:r>
                </m:e>
                <m:sub>
                  <m:r>
                    <w:rPr>
                      <w:rFonts w:ascii="Cambria Math" w:hAnsi="Cambria Math"/>
                      <w:sz w:val="20"/>
                      <w:szCs w:val="20"/>
                    </w:rPr>
                    <m:t>LCOD</m:t>
                  </m:r>
                </m:sub>
              </m:sSub>
            </m:oMath>
            <w:r w:rsidR="00775E00" w:rsidRPr="00B640E4">
              <w:rPr>
                <w:rFonts w:eastAsia="Times New Roman"/>
                <w:sz w:val="20"/>
                <w:szCs w:val="20"/>
              </w:rPr>
              <w:t xml:space="preserve"> – </w:t>
            </w:r>
            <w:r w:rsidR="00775E00" w:rsidRPr="00AF5416">
              <w:rPr>
                <w:rFonts w:eastAsia="Times New Roman"/>
                <w:sz w:val="18"/>
                <w:szCs w:val="18"/>
              </w:rPr>
              <w:t xml:space="preserve">numărul total de </w:t>
            </w:r>
            <w:r w:rsidR="004E498C">
              <w:rPr>
                <w:rFonts w:eastAsia="Times New Roman"/>
                <w:sz w:val="18"/>
                <w:szCs w:val="18"/>
              </w:rPr>
              <w:t>locuri de consum/de producere și consum</w:t>
            </w:r>
            <w:r w:rsidR="00775E00" w:rsidRPr="00AF5416">
              <w:rPr>
                <w:rFonts w:eastAsia="Times New Roman"/>
                <w:sz w:val="18"/>
                <w:szCs w:val="18"/>
              </w:rPr>
              <w:t xml:space="preserve"> </w:t>
            </w:r>
            <w:r w:rsidR="004A74A9">
              <w:rPr>
                <w:rFonts w:eastAsia="Times New Roman"/>
                <w:sz w:val="18"/>
                <w:szCs w:val="18"/>
              </w:rPr>
              <w:t xml:space="preserve">pe nivelul de joasă tensiune </w:t>
            </w:r>
            <w:r w:rsidR="00775E00" w:rsidRPr="00AF5416">
              <w:rPr>
                <w:rFonts w:eastAsia="Times New Roman"/>
                <w:sz w:val="18"/>
                <w:szCs w:val="18"/>
              </w:rPr>
              <w:t xml:space="preserve">din zona de concesiune a </w:t>
            </w:r>
            <w:r w:rsidR="00FA3004">
              <w:rPr>
                <w:rFonts w:eastAsia="Times New Roman"/>
                <w:sz w:val="18"/>
                <w:szCs w:val="18"/>
              </w:rPr>
              <w:t>serviciului de distribuţie energie electrică</w:t>
            </w:r>
            <w:r w:rsidR="00775E00" w:rsidRPr="00AF5416">
              <w:rPr>
                <w:rFonts w:eastAsia="Times New Roman"/>
                <w:sz w:val="18"/>
                <w:szCs w:val="18"/>
              </w:rPr>
              <w:t xml:space="preserve"> a OD la sfârșitul anului de raportare</w:t>
            </w:r>
            <w:r w:rsidR="00F665E6">
              <w:rPr>
                <w:rFonts w:eastAsia="Times New Roman"/>
                <w:sz w:val="18"/>
                <w:szCs w:val="18"/>
              </w:rPr>
              <w:t>.</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r w:rsidR="001A75A5" w:rsidRPr="006D02E3">
              <w:rPr>
                <w:sz w:val="16"/>
                <w:szCs w:val="16"/>
              </w:rPr>
              <w:t xml:space="preserve"> și de referă la toate locurile de </w:t>
            </w:r>
            <w:r w:rsidR="009137F6" w:rsidRPr="006D02E3">
              <w:rPr>
                <w:sz w:val="16"/>
                <w:szCs w:val="16"/>
              </w:rPr>
              <w:t>consum/de producere</w:t>
            </w:r>
            <w:r w:rsidR="001A75A5" w:rsidRPr="006D02E3">
              <w:rPr>
                <w:sz w:val="16"/>
                <w:szCs w:val="16"/>
              </w:rPr>
              <w:t xml:space="preserve"> și consum din zona de concesiune integrate în SMI până la sfârșitul anului de raportare</w:t>
            </w:r>
            <w:r w:rsidR="00D4214F" w:rsidRPr="006D02E3">
              <w:rPr>
                <w:sz w:val="16"/>
                <w:szCs w:val="16"/>
              </w:rPr>
              <w:t>.</w:t>
            </w:r>
          </w:p>
        </w:tc>
      </w:tr>
      <w:tr w:rsidR="00F665E6" w:rsidRPr="00B640E4" w:rsidTr="006D02E3">
        <w:trPr>
          <w:trHeight w:val="1034"/>
        </w:trPr>
        <w:tc>
          <w:tcPr>
            <w:tcW w:w="253" w:type="pct"/>
            <w:shd w:val="clear" w:color="auto" w:fill="auto"/>
            <w:tcMar>
              <w:top w:w="0" w:type="dxa"/>
              <w:left w:w="108" w:type="dxa"/>
              <w:bottom w:w="0" w:type="dxa"/>
              <w:right w:w="108" w:type="dxa"/>
            </w:tcMar>
            <w:vAlign w:val="center"/>
          </w:tcPr>
          <w:p w:rsidR="00F665E6" w:rsidRPr="00B640E4" w:rsidRDefault="00F665E6" w:rsidP="00775E00">
            <w:pPr>
              <w:numPr>
                <w:ilvl w:val="0"/>
                <w:numId w:val="30"/>
              </w:numPr>
              <w:suppressAutoHyphens/>
              <w:autoSpaceDN w:val="0"/>
              <w:spacing w:before="120" w:after="280" w:line="247" w:lineRule="auto"/>
              <w:ind w:left="176" w:hanging="218"/>
              <w:jc w:val="center"/>
              <w:textAlignment w:val="baseline"/>
            </w:pPr>
          </w:p>
        </w:tc>
        <w:tc>
          <w:tcPr>
            <w:tcW w:w="1111" w:type="pct"/>
            <w:tcMar>
              <w:top w:w="0" w:type="dxa"/>
              <w:left w:w="108" w:type="dxa"/>
              <w:bottom w:w="0" w:type="dxa"/>
              <w:right w:w="108" w:type="dxa"/>
            </w:tcMar>
            <w:vAlign w:val="center"/>
          </w:tcPr>
          <w:p w:rsidR="00F665E6" w:rsidRPr="00512F5E" w:rsidRDefault="00F665E6" w:rsidP="00775E00">
            <w:pPr>
              <w:rPr>
                <w:sz w:val="18"/>
                <w:szCs w:val="18"/>
              </w:rPr>
            </w:pPr>
            <w:r w:rsidRPr="00512F5E">
              <w:rPr>
                <w:rFonts w:eastAsia="Times New Roman"/>
                <w:color w:val="000000"/>
                <w:sz w:val="18"/>
                <w:szCs w:val="18"/>
              </w:rPr>
              <w:t>Numărul</w:t>
            </w:r>
            <w:r>
              <w:rPr>
                <w:rFonts w:eastAsia="Times New Roman"/>
                <w:color w:val="000000"/>
                <w:sz w:val="18"/>
                <w:szCs w:val="18"/>
              </w:rPr>
              <w:t xml:space="preserve"> total</w:t>
            </w:r>
            <w:r w:rsidRPr="00512F5E">
              <w:rPr>
                <w:rFonts w:eastAsia="Times New Roman"/>
                <w:color w:val="000000"/>
                <w:sz w:val="18"/>
                <w:szCs w:val="18"/>
              </w:rPr>
              <w:t xml:space="preserve"> de contoare SMI monofazate instalate </w:t>
            </w:r>
            <w:r>
              <w:rPr>
                <w:rFonts w:eastAsia="Times New Roman"/>
                <w:color w:val="000000"/>
                <w:sz w:val="18"/>
                <w:szCs w:val="18"/>
              </w:rPr>
              <w:t xml:space="preserve">până la sfârșitul </w:t>
            </w:r>
            <w:r w:rsidRPr="00512F5E">
              <w:rPr>
                <w:rFonts w:eastAsia="Times New Roman"/>
                <w:color w:val="000000"/>
                <w:sz w:val="18"/>
                <w:szCs w:val="18"/>
              </w:rPr>
              <w:t>anul</w:t>
            </w:r>
            <w:r>
              <w:rPr>
                <w:rFonts w:eastAsia="Times New Roman"/>
                <w:color w:val="000000"/>
                <w:sz w:val="18"/>
                <w:szCs w:val="18"/>
              </w:rPr>
              <w:t>ui</w:t>
            </w:r>
            <w:r w:rsidRPr="00512F5E">
              <w:rPr>
                <w:rFonts w:eastAsia="Times New Roman"/>
                <w:color w:val="000000"/>
                <w:sz w:val="18"/>
                <w:szCs w:val="18"/>
              </w:rPr>
              <w:t xml:space="preserve"> de raportare</w:t>
            </w:r>
          </w:p>
        </w:tc>
        <w:tc>
          <w:tcPr>
            <w:tcW w:w="960" w:type="pct"/>
            <w:shd w:val="clear" w:color="auto" w:fill="auto"/>
            <w:tcMar>
              <w:top w:w="0" w:type="dxa"/>
              <w:left w:w="108" w:type="dxa"/>
              <w:bottom w:w="0" w:type="dxa"/>
              <w:right w:w="108" w:type="dxa"/>
            </w:tcMar>
            <w:vAlign w:val="center"/>
          </w:tcPr>
          <w:p w:rsidR="00F665E6" w:rsidRPr="00A61ECC" w:rsidRDefault="00F665E6" w:rsidP="00775E00">
            <w:pPr>
              <w:jc w:val="center"/>
              <w:rPr>
                <w:rFonts w:eastAsia="Calibri"/>
                <w:vertAlign w:val="subscript"/>
              </w:rPr>
            </w:pPr>
            <w:r w:rsidRPr="00A61ECC">
              <w:rPr>
                <w:rFonts w:eastAsia="Times New Roman"/>
                <w:color w:val="000000"/>
              </w:rPr>
              <w:t>ntc</w:t>
            </w:r>
            <w:r w:rsidRPr="00A61ECC">
              <w:rPr>
                <w:rFonts w:eastAsia="Times New Roman"/>
                <w:color w:val="000000"/>
                <w:vertAlign w:val="subscript"/>
              </w:rPr>
              <w:t>monof</w:t>
            </w:r>
          </w:p>
        </w:tc>
        <w:tc>
          <w:tcPr>
            <w:tcW w:w="403" w:type="pct"/>
          </w:tcPr>
          <w:p w:rsidR="00F665E6" w:rsidRDefault="00F665E6" w:rsidP="00775E00">
            <w:pPr>
              <w:numPr>
                <w:ilvl w:val="0"/>
                <w:numId w:val="23"/>
              </w:numPr>
              <w:suppressAutoHyphens/>
              <w:autoSpaceDN w:val="0"/>
              <w:spacing w:after="120"/>
              <w:ind w:left="0" w:hanging="215"/>
              <w:textAlignment w:val="baseline"/>
              <w:rPr>
                <w:rFonts w:eastAsia="Times New Roman"/>
                <w:color w:val="000000"/>
                <w:sz w:val="18"/>
                <w:szCs w:val="18"/>
              </w:rPr>
            </w:pPr>
          </w:p>
        </w:tc>
        <w:tc>
          <w:tcPr>
            <w:tcW w:w="1533" w:type="pct"/>
            <w:shd w:val="clear" w:color="auto" w:fill="auto"/>
            <w:tcMar>
              <w:top w:w="0" w:type="dxa"/>
              <w:left w:w="108" w:type="dxa"/>
              <w:bottom w:w="0" w:type="dxa"/>
              <w:right w:w="108" w:type="dxa"/>
            </w:tcMar>
            <w:vAlign w:val="center"/>
          </w:tcPr>
          <w:p w:rsidR="00F665E6" w:rsidRDefault="00F665E6" w:rsidP="00775E00">
            <w:pPr>
              <w:numPr>
                <w:ilvl w:val="0"/>
                <w:numId w:val="23"/>
              </w:numPr>
              <w:suppressAutoHyphens/>
              <w:autoSpaceDN w:val="0"/>
              <w:spacing w:after="120"/>
              <w:ind w:left="0" w:hanging="215"/>
              <w:textAlignment w:val="baseline"/>
              <w:rPr>
                <w:rFonts w:eastAsia="Calibri"/>
                <w:sz w:val="20"/>
                <w:szCs w:val="20"/>
                <w:vertAlign w:val="subscript"/>
              </w:rPr>
            </w:pPr>
            <w:r>
              <w:rPr>
                <w:rFonts w:eastAsia="Times New Roman"/>
                <w:color w:val="000000"/>
                <w:sz w:val="18"/>
                <w:szCs w:val="18"/>
              </w:rPr>
              <w:t xml:space="preserve">Numărul total de contoare monofazate montate în perioada de raportare, </w:t>
            </w:r>
            <w:r w:rsidRPr="00512F5E">
              <w:rPr>
                <w:rFonts w:eastAsia="Times New Roman"/>
                <w:color w:val="000000"/>
                <w:sz w:val="18"/>
                <w:szCs w:val="18"/>
              </w:rPr>
              <w:t>integrate și neintegrate în SMI, instalate conform calendarului de implamentare a SMI aprobat, precum și în baza prevederilor art. 20, art. 21</w:t>
            </w:r>
            <w:r w:rsidRPr="00B864CA">
              <w:rPr>
                <w:rFonts w:eastAsia="Times New Roman"/>
                <w:color w:val="000000"/>
                <w:sz w:val="18"/>
                <w:szCs w:val="18"/>
              </w:rPr>
              <w:t xml:space="preserve"> </w:t>
            </w:r>
            <w:r w:rsidRPr="00512F5E">
              <w:rPr>
                <w:rFonts w:eastAsia="Times New Roman"/>
                <w:color w:val="000000"/>
                <w:sz w:val="18"/>
                <w:szCs w:val="18"/>
              </w:rPr>
              <w:t>din condițiile</w:t>
            </w:r>
            <w:r>
              <w:rPr>
                <w:rFonts w:eastAsia="Times New Roman"/>
                <w:color w:val="000000"/>
                <w:sz w:val="18"/>
                <w:szCs w:val="18"/>
              </w:rPr>
              <w:t xml:space="preserve"> </w:t>
            </w:r>
            <w:r w:rsidRPr="00512F5E">
              <w:rPr>
                <w:rFonts w:eastAsia="Times New Roman"/>
                <w:color w:val="000000"/>
                <w:sz w:val="18"/>
                <w:szCs w:val="18"/>
              </w:rPr>
              <w:t>-</w:t>
            </w:r>
            <w:r>
              <w:rPr>
                <w:rFonts w:eastAsia="Times New Roman"/>
                <w:color w:val="000000"/>
                <w:sz w:val="18"/>
                <w:szCs w:val="18"/>
              </w:rPr>
              <w:t xml:space="preserve"> </w:t>
            </w:r>
            <w:r w:rsidRPr="00512F5E">
              <w:rPr>
                <w:rFonts w:eastAsia="Times New Roman"/>
                <w:color w:val="000000"/>
                <w:sz w:val="18"/>
                <w:szCs w:val="18"/>
              </w:rPr>
              <w:t>cadru și ale art. 66 alin. (3) lit. a) din Legea nr. 123/2012, cu modificările și completările ulterioare</w:t>
            </w:r>
          </w:p>
        </w:tc>
        <w:tc>
          <w:tcPr>
            <w:tcW w:w="740" w:type="pct"/>
            <w:vMerge w:val="restart"/>
            <w:shd w:val="clear" w:color="auto" w:fill="auto"/>
            <w:tcMar>
              <w:top w:w="0" w:type="dxa"/>
              <w:left w:w="108" w:type="dxa"/>
              <w:bottom w:w="0" w:type="dxa"/>
              <w:right w:w="108" w:type="dxa"/>
            </w:tcMar>
            <w:vAlign w:val="center"/>
          </w:tcPr>
          <w:p w:rsidR="00F665E6" w:rsidRPr="006D02E3" w:rsidRDefault="00F665E6" w:rsidP="00775E00">
            <w:pPr>
              <w:tabs>
                <w:tab w:val="left" w:pos="201"/>
              </w:tabs>
              <w:rPr>
                <w:sz w:val="16"/>
                <w:szCs w:val="16"/>
              </w:rPr>
            </w:pPr>
            <w:r w:rsidRPr="006D02E3">
              <w:rPr>
                <w:sz w:val="16"/>
                <w:szCs w:val="16"/>
              </w:rPr>
              <w:t>Se raportează toate contoarele</w:t>
            </w:r>
            <w:r>
              <w:rPr>
                <w:sz w:val="16"/>
                <w:szCs w:val="16"/>
              </w:rPr>
              <w:t xml:space="preserve"> (inclusiv cele de balanță)</w:t>
            </w:r>
            <w:r w:rsidRPr="006D02E3">
              <w:rPr>
                <w:sz w:val="16"/>
                <w:szCs w:val="16"/>
              </w:rPr>
              <w:t xml:space="preserve"> și </w:t>
            </w:r>
            <w:r>
              <w:rPr>
                <w:sz w:val="16"/>
                <w:szCs w:val="16"/>
              </w:rPr>
              <w:t xml:space="preserve">toate </w:t>
            </w:r>
            <w:r w:rsidRPr="006D02E3">
              <w:rPr>
                <w:sz w:val="16"/>
                <w:szCs w:val="16"/>
              </w:rPr>
              <w:t>concentratoarele instalate, atât în perioada proiectelor pilot, cât și în perioada aferentă calendarului de implementare a SMI la nivel național și aflate în funcțiune la sfârșitul anului de raportare.</w:t>
            </w:r>
          </w:p>
        </w:tc>
      </w:tr>
      <w:tr w:rsidR="00F665E6" w:rsidRPr="00B640E4" w:rsidTr="006D02E3">
        <w:trPr>
          <w:trHeight w:val="557"/>
        </w:trPr>
        <w:tc>
          <w:tcPr>
            <w:tcW w:w="253" w:type="pct"/>
            <w:shd w:val="clear" w:color="auto" w:fill="auto"/>
            <w:tcMar>
              <w:top w:w="0" w:type="dxa"/>
              <w:left w:w="108" w:type="dxa"/>
              <w:bottom w:w="0" w:type="dxa"/>
              <w:right w:w="108" w:type="dxa"/>
            </w:tcMar>
            <w:vAlign w:val="center"/>
          </w:tcPr>
          <w:p w:rsidR="00F665E6" w:rsidRPr="00B640E4" w:rsidRDefault="00F665E6" w:rsidP="00775E00">
            <w:pPr>
              <w:numPr>
                <w:ilvl w:val="0"/>
                <w:numId w:val="30"/>
              </w:numPr>
              <w:suppressAutoHyphens/>
              <w:autoSpaceDN w:val="0"/>
              <w:spacing w:before="120" w:after="280" w:line="247" w:lineRule="auto"/>
              <w:ind w:left="176" w:hanging="218"/>
              <w:jc w:val="center"/>
              <w:textAlignment w:val="baseline"/>
            </w:pPr>
          </w:p>
        </w:tc>
        <w:tc>
          <w:tcPr>
            <w:tcW w:w="1111" w:type="pct"/>
            <w:tcMar>
              <w:top w:w="0" w:type="dxa"/>
              <w:left w:w="108" w:type="dxa"/>
              <w:bottom w:w="0" w:type="dxa"/>
              <w:right w:w="108" w:type="dxa"/>
            </w:tcMar>
            <w:vAlign w:val="center"/>
          </w:tcPr>
          <w:p w:rsidR="00F665E6" w:rsidRPr="00512F5E" w:rsidRDefault="00F665E6" w:rsidP="00775E00">
            <w:pPr>
              <w:rPr>
                <w:sz w:val="18"/>
                <w:szCs w:val="18"/>
              </w:rPr>
            </w:pPr>
            <w:r w:rsidRPr="00512F5E">
              <w:rPr>
                <w:rFonts w:eastAsia="Times New Roman"/>
                <w:color w:val="000000"/>
                <w:sz w:val="18"/>
                <w:szCs w:val="18"/>
              </w:rPr>
              <w:t xml:space="preserve">Numărul </w:t>
            </w:r>
            <w:r>
              <w:rPr>
                <w:rFonts w:eastAsia="Times New Roman"/>
                <w:color w:val="000000"/>
                <w:sz w:val="18"/>
                <w:szCs w:val="18"/>
              </w:rPr>
              <w:t xml:space="preserve">total </w:t>
            </w:r>
            <w:r w:rsidRPr="00512F5E">
              <w:rPr>
                <w:rFonts w:eastAsia="Times New Roman"/>
                <w:color w:val="000000"/>
                <w:sz w:val="18"/>
                <w:szCs w:val="18"/>
              </w:rPr>
              <w:t>de contoare SMI trifazate instalate până la sfârșitul anului de raportare</w:t>
            </w:r>
          </w:p>
        </w:tc>
        <w:tc>
          <w:tcPr>
            <w:tcW w:w="960" w:type="pct"/>
            <w:shd w:val="clear" w:color="auto" w:fill="auto"/>
            <w:tcMar>
              <w:top w:w="0" w:type="dxa"/>
              <w:left w:w="108" w:type="dxa"/>
              <w:bottom w:w="0" w:type="dxa"/>
              <w:right w:w="108" w:type="dxa"/>
            </w:tcMar>
            <w:vAlign w:val="center"/>
          </w:tcPr>
          <w:p w:rsidR="00F665E6" w:rsidRPr="00A61ECC" w:rsidRDefault="00F665E6" w:rsidP="00775E00">
            <w:pPr>
              <w:jc w:val="center"/>
              <w:rPr>
                <w:rFonts w:eastAsia="Calibri"/>
                <w:vertAlign w:val="subscript"/>
              </w:rPr>
            </w:pPr>
            <w:r w:rsidRPr="00A61ECC">
              <w:rPr>
                <w:rFonts w:eastAsia="Times New Roman"/>
                <w:color w:val="000000"/>
              </w:rPr>
              <w:t>ntc</w:t>
            </w:r>
            <w:r w:rsidRPr="00A61ECC">
              <w:rPr>
                <w:rFonts w:eastAsia="Times New Roman"/>
                <w:color w:val="000000"/>
                <w:vertAlign w:val="subscript"/>
              </w:rPr>
              <w:t>trif</w:t>
            </w:r>
          </w:p>
        </w:tc>
        <w:tc>
          <w:tcPr>
            <w:tcW w:w="403" w:type="pct"/>
          </w:tcPr>
          <w:p w:rsidR="00F665E6" w:rsidRDefault="00F665E6" w:rsidP="00775E00">
            <w:pPr>
              <w:numPr>
                <w:ilvl w:val="0"/>
                <w:numId w:val="23"/>
              </w:numPr>
              <w:suppressAutoHyphens/>
              <w:autoSpaceDN w:val="0"/>
              <w:spacing w:before="120" w:after="120"/>
              <w:ind w:left="0" w:hanging="215"/>
              <w:textAlignment w:val="baseline"/>
              <w:rPr>
                <w:rFonts w:eastAsia="Times New Roman"/>
                <w:color w:val="000000"/>
                <w:sz w:val="18"/>
                <w:szCs w:val="18"/>
              </w:rPr>
            </w:pPr>
          </w:p>
        </w:tc>
        <w:tc>
          <w:tcPr>
            <w:tcW w:w="1533" w:type="pct"/>
            <w:shd w:val="clear" w:color="auto" w:fill="auto"/>
            <w:tcMar>
              <w:top w:w="0" w:type="dxa"/>
              <w:left w:w="108" w:type="dxa"/>
              <w:bottom w:w="0" w:type="dxa"/>
              <w:right w:w="108" w:type="dxa"/>
            </w:tcMar>
            <w:vAlign w:val="center"/>
          </w:tcPr>
          <w:p w:rsidR="00F665E6" w:rsidRDefault="00F665E6" w:rsidP="004A74A9">
            <w:pPr>
              <w:numPr>
                <w:ilvl w:val="0"/>
                <w:numId w:val="23"/>
              </w:numPr>
              <w:suppressAutoHyphens/>
              <w:autoSpaceDN w:val="0"/>
              <w:spacing w:after="120"/>
              <w:ind w:left="0" w:hanging="215"/>
              <w:textAlignment w:val="baseline"/>
              <w:rPr>
                <w:rFonts w:eastAsia="Calibri"/>
                <w:sz w:val="20"/>
                <w:szCs w:val="20"/>
                <w:vertAlign w:val="subscript"/>
              </w:rPr>
            </w:pPr>
            <w:r>
              <w:rPr>
                <w:rFonts w:eastAsia="Times New Roman"/>
                <w:color w:val="000000"/>
                <w:sz w:val="18"/>
                <w:szCs w:val="18"/>
              </w:rPr>
              <w:t xml:space="preserve">Numărul total de contoare trifazate montate în perioada de raportare, </w:t>
            </w:r>
            <w:r w:rsidRPr="00512F5E">
              <w:rPr>
                <w:rFonts w:eastAsia="Times New Roman"/>
                <w:color w:val="000000"/>
                <w:sz w:val="18"/>
                <w:szCs w:val="18"/>
              </w:rPr>
              <w:t>integrate și neintegrate în SMI, instalate conform calendarului de implamentare a SMI aprobat, precum și în baza prevederilor art. 20, art. 21 din condițiile</w:t>
            </w:r>
            <w:r>
              <w:rPr>
                <w:rFonts w:eastAsia="Times New Roman"/>
                <w:color w:val="000000"/>
                <w:sz w:val="18"/>
                <w:szCs w:val="18"/>
              </w:rPr>
              <w:t xml:space="preserve"> </w:t>
            </w:r>
            <w:r w:rsidRPr="00512F5E">
              <w:rPr>
                <w:rFonts w:eastAsia="Times New Roman"/>
                <w:color w:val="000000"/>
                <w:sz w:val="18"/>
                <w:szCs w:val="18"/>
              </w:rPr>
              <w:t>-</w:t>
            </w:r>
            <w:r>
              <w:rPr>
                <w:rFonts w:eastAsia="Times New Roman"/>
                <w:color w:val="000000"/>
                <w:sz w:val="18"/>
                <w:szCs w:val="18"/>
              </w:rPr>
              <w:t xml:space="preserve"> </w:t>
            </w:r>
            <w:r w:rsidRPr="00512F5E">
              <w:rPr>
                <w:rFonts w:eastAsia="Times New Roman"/>
                <w:color w:val="000000"/>
                <w:sz w:val="18"/>
                <w:szCs w:val="18"/>
              </w:rPr>
              <w:t>cadru și ale art. 66 alin. (3) lit. a) din Legea nr. 123/2012, cu modificările și completările ulterioare</w:t>
            </w:r>
          </w:p>
        </w:tc>
        <w:tc>
          <w:tcPr>
            <w:tcW w:w="740" w:type="pct"/>
            <w:vMerge/>
            <w:shd w:val="clear" w:color="auto" w:fill="auto"/>
            <w:tcMar>
              <w:top w:w="0" w:type="dxa"/>
              <w:left w:w="108" w:type="dxa"/>
              <w:bottom w:w="0" w:type="dxa"/>
              <w:right w:w="108" w:type="dxa"/>
            </w:tcMar>
            <w:vAlign w:val="center"/>
          </w:tcPr>
          <w:p w:rsidR="00F665E6" w:rsidRPr="006D02E3" w:rsidRDefault="00F665E6" w:rsidP="00775E00">
            <w:pPr>
              <w:tabs>
                <w:tab w:val="left" w:pos="201"/>
              </w:tabs>
              <w:rPr>
                <w:sz w:val="16"/>
                <w:szCs w:val="16"/>
              </w:rPr>
            </w:pPr>
          </w:p>
        </w:tc>
      </w:tr>
      <w:tr w:rsidR="00F665E6" w:rsidRPr="00B640E4" w:rsidTr="006D02E3">
        <w:trPr>
          <w:trHeight w:val="564"/>
        </w:trPr>
        <w:tc>
          <w:tcPr>
            <w:tcW w:w="253" w:type="pct"/>
            <w:shd w:val="clear" w:color="auto" w:fill="auto"/>
            <w:tcMar>
              <w:top w:w="0" w:type="dxa"/>
              <w:left w:w="108" w:type="dxa"/>
              <w:bottom w:w="0" w:type="dxa"/>
              <w:right w:w="108" w:type="dxa"/>
            </w:tcMar>
            <w:vAlign w:val="center"/>
          </w:tcPr>
          <w:p w:rsidR="00F665E6" w:rsidRPr="00B640E4" w:rsidRDefault="00F665E6" w:rsidP="00775E00">
            <w:pPr>
              <w:numPr>
                <w:ilvl w:val="0"/>
                <w:numId w:val="30"/>
              </w:numPr>
              <w:suppressAutoHyphens/>
              <w:autoSpaceDN w:val="0"/>
              <w:spacing w:before="120" w:after="280" w:line="247" w:lineRule="auto"/>
              <w:ind w:left="176" w:hanging="218"/>
              <w:jc w:val="center"/>
              <w:textAlignment w:val="baseline"/>
            </w:pPr>
          </w:p>
        </w:tc>
        <w:tc>
          <w:tcPr>
            <w:tcW w:w="1111" w:type="pct"/>
            <w:tcMar>
              <w:top w:w="0" w:type="dxa"/>
              <w:left w:w="108" w:type="dxa"/>
              <w:bottom w:w="0" w:type="dxa"/>
              <w:right w:w="108" w:type="dxa"/>
            </w:tcMar>
            <w:vAlign w:val="center"/>
          </w:tcPr>
          <w:p w:rsidR="00F665E6" w:rsidRPr="00512F5E" w:rsidRDefault="00F665E6" w:rsidP="00775E00">
            <w:pPr>
              <w:rPr>
                <w:sz w:val="18"/>
                <w:szCs w:val="18"/>
              </w:rPr>
            </w:pPr>
            <w:r w:rsidRPr="00512F5E">
              <w:rPr>
                <w:rFonts w:eastAsia="Times New Roman"/>
                <w:color w:val="000000"/>
                <w:sz w:val="18"/>
                <w:szCs w:val="18"/>
              </w:rPr>
              <w:t xml:space="preserve">Numărul </w:t>
            </w:r>
            <w:r>
              <w:rPr>
                <w:rFonts w:eastAsia="Times New Roman"/>
                <w:color w:val="000000"/>
                <w:sz w:val="18"/>
                <w:szCs w:val="18"/>
              </w:rPr>
              <w:t xml:space="preserve">total </w:t>
            </w:r>
            <w:r w:rsidRPr="00512F5E">
              <w:rPr>
                <w:rFonts w:eastAsia="Times New Roman"/>
                <w:color w:val="000000"/>
                <w:sz w:val="18"/>
                <w:szCs w:val="18"/>
              </w:rPr>
              <w:t>de concentratoare instalate până la sfârșitul anului de raportare</w:t>
            </w:r>
          </w:p>
        </w:tc>
        <w:tc>
          <w:tcPr>
            <w:tcW w:w="960" w:type="pct"/>
            <w:shd w:val="clear" w:color="auto" w:fill="auto"/>
            <w:tcMar>
              <w:top w:w="0" w:type="dxa"/>
              <w:left w:w="108" w:type="dxa"/>
              <w:bottom w:w="0" w:type="dxa"/>
              <w:right w:w="108" w:type="dxa"/>
            </w:tcMar>
            <w:vAlign w:val="center"/>
          </w:tcPr>
          <w:p w:rsidR="00F665E6" w:rsidRPr="00A61ECC" w:rsidRDefault="00F665E6" w:rsidP="00775E00">
            <w:pPr>
              <w:jc w:val="center"/>
              <w:rPr>
                <w:rFonts w:eastAsia="Calibri"/>
                <w:vertAlign w:val="subscript"/>
              </w:rPr>
            </w:pPr>
            <w:r w:rsidRPr="00A61ECC">
              <w:rPr>
                <w:rFonts w:eastAsia="Times New Roman"/>
                <w:color w:val="000000"/>
              </w:rPr>
              <w:t>ntc</w:t>
            </w:r>
            <w:r>
              <w:rPr>
                <w:rFonts w:eastAsia="Times New Roman"/>
                <w:color w:val="000000"/>
                <w:vertAlign w:val="subscript"/>
              </w:rPr>
              <w:t>oncentr</w:t>
            </w:r>
          </w:p>
        </w:tc>
        <w:tc>
          <w:tcPr>
            <w:tcW w:w="403" w:type="pct"/>
          </w:tcPr>
          <w:p w:rsidR="00F665E6" w:rsidRPr="00512F5E" w:rsidRDefault="00F665E6" w:rsidP="00775E00">
            <w:pPr>
              <w:numPr>
                <w:ilvl w:val="0"/>
                <w:numId w:val="23"/>
              </w:numPr>
              <w:suppressAutoHyphens/>
              <w:autoSpaceDN w:val="0"/>
              <w:spacing w:after="120"/>
              <w:ind w:left="0" w:hanging="215"/>
              <w:textAlignment w:val="baseline"/>
              <w:rPr>
                <w:rFonts w:eastAsia="Times New Roman"/>
                <w:color w:val="000000"/>
                <w:sz w:val="18"/>
                <w:szCs w:val="18"/>
              </w:rPr>
            </w:pPr>
          </w:p>
        </w:tc>
        <w:tc>
          <w:tcPr>
            <w:tcW w:w="1533" w:type="pct"/>
            <w:shd w:val="clear" w:color="auto" w:fill="auto"/>
            <w:tcMar>
              <w:top w:w="0" w:type="dxa"/>
              <w:left w:w="108" w:type="dxa"/>
              <w:bottom w:w="0" w:type="dxa"/>
              <w:right w:w="108" w:type="dxa"/>
            </w:tcMar>
            <w:vAlign w:val="center"/>
          </w:tcPr>
          <w:p w:rsidR="00F665E6" w:rsidRPr="00512F5E" w:rsidRDefault="00F665E6" w:rsidP="00775E00">
            <w:pPr>
              <w:numPr>
                <w:ilvl w:val="0"/>
                <w:numId w:val="23"/>
              </w:numPr>
              <w:suppressAutoHyphens/>
              <w:autoSpaceDN w:val="0"/>
              <w:spacing w:after="120"/>
              <w:ind w:left="0" w:hanging="215"/>
              <w:textAlignment w:val="baseline"/>
              <w:rPr>
                <w:rFonts w:eastAsia="Times New Roman"/>
                <w:color w:val="000000"/>
                <w:sz w:val="18"/>
                <w:szCs w:val="18"/>
              </w:rPr>
            </w:pPr>
            <w:r w:rsidRPr="00512F5E">
              <w:rPr>
                <w:rFonts w:eastAsia="Times New Roman"/>
                <w:color w:val="000000"/>
                <w:sz w:val="18"/>
                <w:szCs w:val="18"/>
              </w:rPr>
              <w:t>Nu</w:t>
            </w:r>
            <w:r>
              <w:rPr>
                <w:rFonts w:eastAsia="Times New Roman"/>
                <w:color w:val="000000"/>
                <w:sz w:val="18"/>
                <w:szCs w:val="18"/>
              </w:rPr>
              <w:t>m</w:t>
            </w:r>
            <w:r w:rsidRPr="00512F5E">
              <w:rPr>
                <w:rFonts w:eastAsia="Times New Roman"/>
                <w:color w:val="000000"/>
                <w:sz w:val="18"/>
                <w:szCs w:val="18"/>
              </w:rPr>
              <w:t xml:space="preserve">ărul </w:t>
            </w:r>
            <w:r>
              <w:rPr>
                <w:rFonts w:eastAsia="Times New Roman"/>
                <w:color w:val="000000"/>
                <w:sz w:val="18"/>
                <w:szCs w:val="18"/>
              </w:rPr>
              <w:t xml:space="preserve">total </w:t>
            </w:r>
            <w:r w:rsidRPr="00512F5E">
              <w:rPr>
                <w:rFonts w:eastAsia="Times New Roman"/>
                <w:color w:val="000000"/>
                <w:sz w:val="18"/>
                <w:szCs w:val="18"/>
              </w:rPr>
              <w:t>de concentratoare instalate în perioada de raportare</w:t>
            </w:r>
          </w:p>
        </w:tc>
        <w:tc>
          <w:tcPr>
            <w:tcW w:w="740" w:type="pct"/>
            <w:vMerge/>
            <w:shd w:val="clear" w:color="auto" w:fill="auto"/>
            <w:tcMar>
              <w:top w:w="0" w:type="dxa"/>
              <w:left w:w="108" w:type="dxa"/>
              <w:bottom w:w="0" w:type="dxa"/>
              <w:right w:w="108" w:type="dxa"/>
            </w:tcMar>
            <w:vAlign w:val="center"/>
          </w:tcPr>
          <w:p w:rsidR="00F665E6" w:rsidRPr="006D02E3" w:rsidRDefault="00F665E6" w:rsidP="00775E00">
            <w:pPr>
              <w:tabs>
                <w:tab w:val="left" w:pos="201"/>
              </w:tabs>
              <w:rPr>
                <w:sz w:val="16"/>
                <w:szCs w:val="16"/>
              </w:rPr>
            </w:pPr>
          </w:p>
        </w:tc>
      </w:tr>
      <w:tr w:rsidR="00F665E6" w:rsidRPr="00B640E4" w:rsidTr="006D02E3">
        <w:trPr>
          <w:trHeight w:val="713"/>
        </w:trPr>
        <w:tc>
          <w:tcPr>
            <w:tcW w:w="253" w:type="pct"/>
            <w:shd w:val="clear" w:color="auto" w:fill="auto"/>
            <w:tcMar>
              <w:top w:w="0" w:type="dxa"/>
              <w:left w:w="108" w:type="dxa"/>
              <w:bottom w:w="0" w:type="dxa"/>
              <w:right w:w="108" w:type="dxa"/>
            </w:tcMar>
            <w:vAlign w:val="center"/>
          </w:tcPr>
          <w:p w:rsidR="00F665E6" w:rsidRPr="00B640E4" w:rsidRDefault="00F665E6" w:rsidP="00775E00">
            <w:pPr>
              <w:numPr>
                <w:ilvl w:val="0"/>
                <w:numId w:val="30"/>
              </w:numPr>
              <w:suppressAutoHyphens/>
              <w:autoSpaceDN w:val="0"/>
              <w:spacing w:before="120" w:after="280" w:line="247" w:lineRule="auto"/>
              <w:ind w:left="176" w:hanging="218"/>
              <w:jc w:val="center"/>
              <w:textAlignment w:val="baseline"/>
            </w:pPr>
          </w:p>
        </w:tc>
        <w:tc>
          <w:tcPr>
            <w:tcW w:w="1111" w:type="pct"/>
            <w:tcMar>
              <w:top w:w="0" w:type="dxa"/>
              <w:left w:w="108" w:type="dxa"/>
              <w:bottom w:w="0" w:type="dxa"/>
              <w:right w:w="108" w:type="dxa"/>
            </w:tcMar>
            <w:vAlign w:val="center"/>
          </w:tcPr>
          <w:p w:rsidR="00F665E6" w:rsidRPr="00512F5E" w:rsidRDefault="00F665E6" w:rsidP="00775E00">
            <w:pPr>
              <w:rPr>
                <w:sz w:val="18"/>
                <w:szCs w:val="18"/>
              </w:rPr>
            </w:pPr>
            <w:r w:rsidRPr="00512F5E">
              <w:rPr>
                <w:rFonts w:eastAsia="Times New Roman"/>
                <w:color w:val="000000"/>
                <w:sz w:val="18"/>
                <w:szCs w:val="18"/>
              </w:rPr>
              <w:t xml:space="preserve">Numărul </w:t>
            </w:r>
            <w:r>
              <w:rPr>
                <w:rFonts w:eastAsia="Times New Roman"/>
                <w:color w:val="000000"/>
                <w:sz w:val="18"/>
                <w:szCs w:val="18"/>
              </w:rPr>
              <w:t xml:space="preserve">total </w:t>
            </w:r>
            <w:r w:rsidRPr="00512F5E">
              <w:rPr>
                <w:rFonts w:eastAsia="Times New Roman"/>
                <w:color w:val="000000"/>
                <w:sz w:val="18"/>
                <w:szCs w:val="18"/>
              </w:rPr>
              <w:t>de contoare de balanţă instalate până la sfârșitul anului de raportare</w:t>
            </w:r>
          </w:p>
        </w:tc>
        <w:tc>
          <w:tcPr>
            <w:tcW w:w="960" w:type="pct"/>
            <w:shd w:val="clear" w:color="auto" w:fill="auto"/>
            <w:tcMar>
              <w:top w:w="0" w:type="dxa"/>
              <w:left w:w="108" w:type="dxa"/>
              <w:bottom w:w="0" w:type="dxa"/>
              <w:right w:w="108" w:type="dxa"/>
            </w:tcMar>
            <w:vAlign w:val="center"/>
          </w:tcPr>
          <w:p w:rsidR="00F665E6" w:rsidRPr="00A61ECC" w:rsidRDefault="00F665E6" w:rsidP="00775E00">
            <w:pPr>
              <w:jc w:val="center"/>
              <w:rPr>
                <w:rFonts w:eastAsia="Calibri"/>
                <w:vertAlign w:val="subscript"/>
              </w:rPr>
            </w:pPr>
            <w:r w:rsidRPr="00A61ECC">
              <w:rPr>
                <w:rFonts w:eastAsia="Times New Roman"/>
                <w:color w:val="000000"/>
              </w:rPr>
              <w:t>ntc</w:t>
            </w:r>
            <w:r>
              <w:rPr>
                <w:rFonts w:eastAsia="Times New Roman"/>
                <w:color w:val="000000"/>
                <w:vertAlign w:val="subscript"/>
              </w:rPr>
              <w:t>bal</w:t>
            </w:r>
          </w:p>
        </w:tc>
        <w:tc>
          <w:tcPr>
            <w:tcW w:w="403" w:type="pct"/>
          </w:tcPr>
          <w:p w:rsidR="00F665E6" w:rsidRPr="00512F5E" w:rsidRDefault="00F665E6" w:rsidP="00775E00">
            <w:pPr>
              <w:numPr>
                <w:ilvl w:val="0"/>
                <w:numId w:val="23"/>
              </w:numPr>
              <w:suppressAutoHyphens/>
              <w:autoSpaceDN w:val="0"/>
              <w:spacing w:after="120"/>
              <w:ind w:left="0" w:hanging="215"/>
              <w:textAlignment w:val="baseline"/>
              <w:rPr>
                <w:rFonts w:eastAsia="Times New Roman"/>
                <w:color w:val="000000"/>
                <w:sz w:val="18"/>
                <w:szCs w:val="18"/>
              </w:rPr>
            </w:pPr>
          </w:p>
        </w:tc>
        <w:tc>
          <w:tcPr>
            <w:tcW w:w="1533" w:type="pct"/>
            <w:shd w:val="clear" w:color="auto" w:fill="auto"/>
            <w:tcMar>
              <w:top w:w="0" w:type="dxa"/>
              <w:left w:w="108" w:type="dxa"/>
              <w:bottom w:w="0" w:type="dxa"/>
              <w:right w:w="108" w:type="dxa"/>
            </w:tcMar>
            <w:vAlign w:val="center"/>
          </w:tcPr>
          <w:p w:rsidR="00F665E6" w:rsidRPr="00512F5E" w:rsidRDefault="00F665E6" w:rsidP="00775E00">
            <w:pPr>
              <w:numPr>
                <w:ilvl w:val="0"/>
                <w:numId w:val="23"/>
              </w:numPr>
              <w:suppressAutoHyphens/>
              <w:autoSpaceDN w:val="0"/>
              <w:spacing w:after="120"/>
              <w:ind w:left="0" w:hanging="215"/>
              <w:textAlignment w:val="baseline"/>
              <w:rPr>
                <w:rFonts w:eastAsia="Times New Roman"/>
                <w:color w:val="000000"/>
                <w:sz w:val="18"/>
                <w:szCs w:val="18"/>
              </w:rPr>
            </w:pPr>
            <w:r w:rsidRPr="00512F5E">
              <w:rPr>
                <w:rFonts w:eastAsia="Times New Roman"/>
                <w:color w:val="000000"/>
                <w:sz w:val="18"/>
                <w:szCs w:val="18"/>
              </w:rPr>
              <w:t xml:space="preserve">Nunărul </w:t>
            </w:r>
            <w:r>
              <w:rPr>
                <w:rFonts w:eastAsia="Times New Roman"/>
                <w:color w:val="000000"/>
                <w:sz w:val="18"/>
                <w:szCs w:val="18"/>
              </w:rPr>
              <w:t xml:space="preserve">total </w:t>
            </w:r>
            <w:r w:rsidRPr="00512F5E">
              <w:rPr>
                <w:rFonts w:eastAsia="Times New Roman"/>
                <w:color w:val="000000"/>
                <w:sz w:val="18"/>
                <w:szCs w:val="18"/>
              </w:rPr>
              <w:t>de contoare</w:t>
            </w:r>
            <w:r>
              <w:rPr>
                <w:rFonts w:eastAsia="Times New Roman"/>
                <w:color w:val="000000"/>
                <w:sz w:val="18"/>
                <w:szCs w:val="18"/>
              </w:rPr>
              <w:t xml:space="preserve"> de balanță</w:t>
            </w:r>
            <w:r w:rsidRPr="00512F5E">
              <w:rPr>
                <w:rFonts w:eastAsia="Times New Roman"/>
                <w:color w:val="000000"/>
                <w:sz w:val="18"/>
                <w:szCs w:val="18"/>
              </w:rPr>
              <w:t xml:space="preserve"> instalate în perioada de raportare</w:t>
            </w:r>
          </w:p>
        </w:tc>
        <w:tc>
          <w:tcPr>
            <w:tcW w:w="740" w:type="pct"/>
            <w:vMerge/>
            <w:shd w:val="clear" w:color="auto" w:fill="auto"/>
            <w:tcMar>
              <w:top w:w="0" w:type="dxa"/>
              <w:left w:w="108" w:type="dxa"/>
              <w:bottom w:w="0" w:type="dxa"/>
              <w:right w:w="108" w:type="dxa"/>
            </w:tcMar>
            <w:vAlign w:val="center"/>
          </w:tcPr>
          <w:p w:rsidR="00F665E6" w:rsidRPr="006D02E3" w:rsidRDefault="00F665E6" w:rsidP="00775E00">
            <w:pPr>
              <w:tabs>
                <w:tab w:val="left" w:pos="201"/>
              </w:tabs>
              <w:rPr>
                <w:sz w:val="16"/>
                <w:szCs w:val="16"/>
              </w:rPr>
            </w:pPr>
          </w:p>
        </w:tc>
      </w:tr>
      <w:tr w:rsidR="009F0AF1" w:rsidRPr="00B640E4" w:rsidTr="006D02E3">
        <w:trPr>
          <w:trHeight w:val="1034"/>
        </w:trPr>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775E00" w:rsidRPr="00B640E4" w:rsidRDefault="00775E00" w:rsidP="00775E00">
            <w:pPr>
              <w:rPr>
                <w:sz w:val="20"/>
                <w:szCs w:val="20"/>
              </w:rPr>
            </w:pPr>
            <w:r w:rsidRPr="002E5B0A">
              <w:rPr>
                <w:sz w:val="20"/>
                <w:szCs w:val="20"/>
              </w:rPr>
              <w:t>Numărul total de posturi</w:t>
            </w:r>
            <w:r w:rsidRPr="00B640E4">
              <w:rPr>
                <w:sz w:val="20"/>
                <w:szCs w:val="20"/>
              </w:rPr>
              <w:t xml:space="preserve"> de transformare </w:t>
            </w:r>
            <w:r>
              <w:rPr>
                <w:sz w:val="20"/>
                <w:szCs w:val="20"/>
              </w:rPr>
              <w:t>(PT)</w:t>
            </w:r>
            <w:r w:rsidR="00D342DD">
              <w:rPr>
                <w:sz w:val="20"/>
                <w:szCs w:val="20"/>
              </w:rPr>
              <w:t xml:space="preserve"> la care sunt racordate locuri de </w:t>
            </w:r>
            <w:r w:rsidR="009137F6">
              <w:rPr>
                <w:sz w:val="20"/>
                <w:szCs w:val="20"/>
              </w:rPr>
              <w:t>consum/de producere</w:t>
            </w:r>
            <w:r w:rsidR="00D342DD">
              <w:rPr>
                <w:sz w:val="20"/>
                <w:szCs w:val="20"/>
              </w:rPr>
              <w:t xml:space="preserve"> și consum</w:t>
            </w:r>
            <w:r>
              <w:rPr>
                <w:sz w:val="20"/>
                <w:szCs w:val="20"/>
              </w:rPr>
              <w:t xml:space="preserve"> </w:t>
            </w:r>
            <w:r w:rsidRPr="00B640E4">
              <w:rPr>
                <w:sz w:val="20"/>
                <w:szCs w:val="20"/>
              </w:rPr>
              <w:t>integrate în SMI</w:t>
            </w:r>
            <w:r>
              <w:rPr>
                <w:sz w:val="20"/>
                <w:szCs w:val="20"/>
              </w:rPr>
              <w:t xml:space="preserve"> până la sfârșitul anului de raportare</w:t>
            </w:r>
          </w:p>
        </w:tc>
        <w:tc>
          <w:tcPr>
            <w:tcW w:w="960" w:type="pct"/>
            <w:shd w:val="clear" w:color="auto" w:fill="auto"/>
            <w:tcMar>
              <w:top w:w="0" w:type="dxa"/>
              <w:left w:w="108" w:type="dxa"/>
              <w:bottom w:w="0" w:type="dxa"/>
              <w:right w:w="108" w:type="dxa"/>
            </w:tcMar>
            <w:vAlign w:val="center"/>
          </w:tcPr>
          <w:p w:rsidR="00775E00" w:rsidRPr="00B640E4" w:rsidRDefault="00BE141B" w:rsidP="00775E00">
            <w:pPr>
              <w:jc w:val="center"/>
              <w:rPr>
                <w:vertAlign w:val="subscript"/>
              </w:rPr>
            </w:pPr>
            <m:oMathPara>
              <m:oMath>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PTintegrSMI</m:t>
                    </m:r>
                  </m:sub>
                </m:sSub>
              </m:oMath>
            </m:oMathPara>
          </w:p>
        </w:tc>
        <w:tc>
          <w:tcPr>
            <w:tcW w:w="403" w:type="pct"/>
          </w:tcPr>
          <w:p w:rsidR="00775E00" w:rsidRPr="00B640E4" w:rsidRDefault="00775E00" w:rsidP="00775E00">
            <w:pPr>
              <w:numPr>
                <w:ilvl w:val="0"/>
                <w:numId w:val="23"/>
              </w:numPr>
              <w:suppressAutoHyphens/>
              <w:autoSpaceDN w:val="0"/>
              <w:spacing w:after="120"/>
              <w:ind w:left="0" w:hanging="215"/>
              <w:textAlignment w:val="baseline"/>
              <w:rPr>
                <w:sz w:val="20"/>
                <w:szCs w:val="20"/>
              </w:rPr>
            </w:pPr>
          </w:p>
        </w:tc>
        <w:tc>
          <w:tcPr>
            <w:tcW w:w="1533" w:type="pct"/>
            <w:shd w:val="clear" w:color="auto" w:fill="auto"/>
            <w:tcMar>
              <w:top w:w="0" w:type="dxa"/>
              <w:left w:w="108" w:type="dxa"/>
              <w:bottom w:w="0" w:type="dxa"/>
              <w:right w:w="108" w:type="dxa"/>
            </w:tcMar>
            <w:vAlign w:val="center"/>
          </w:tcPr>
          <w:p w:rsidR="00775E00" w:rsidRPr="00AF42DA" w:rsidRDefault="00775E00" w:rsidP="00775E00">
            <w:pPr>
              <w:numPr>
                <w:ilvl w:val="0"/>
                <w:numId w:val="23"/>
              </w:numPr>
              <w:suppressAutoHyphens/>
              <w:autoSpaceDN w:val="0"/>
              <w:spacing w:after="120"/>
              <w:ind w:left="0" w:hanging="215"/>
              <w:textAlignment w:val="baseline"/>
              <w:rPr>
                <w:sz w:val="18"/>
                <w:szCs w:val="18"/>
                <w:vertAlign w:val="subscript"/>
              </w:rPr>
            </w:pPr>
            <w:r w:rsidRPr="00AF42DA">
              <w:rPr>
                <w:sz w:val="18"/>
                <w:szCs w:val="18"/>
              </w:rPr>
              <w:t xml:space="preserve">Numărul total de PT la care sunt racordate contoare integrate în SMI aferent întregii perioade de raportare </w:t>
            </w:r>
          </w:p>
        </w:tc>
        <w:tc>
          <w:tcPr>
            <w:tcW w:w="740" w:type="pct"/>
            <w:shd w:val="clear" w:color="auto" w:fill="auto"/>
            <w:tcMar>
              <w:top w:w="0" w:type="dxa"/>
              <w:left w:w="108" w:type="dxa"/>
              <w:bottom w:w="0" w:type="dxa"/>
              <w:right w:w="108" w:type="dxa"/>
            </w:tcMar>
            <w:vAlign w:val="center"/>
          </w:tcPr>
          <w:p w:rsidR="00775E00" w:rsidRPr="006D02E3" w:rsidRDefault="00775E00" w:rsidP="00775E00">
            <w:pPr>
              <w:tabs>
                <w:tab w:val="left" w:pos="201"/>
              </w:tabs>
              <w:rPr>
                <w:sz w:val="16"/>
                <w:szCs w:val="16"/>
              </w:rPr>
            </w:pPr>
            <w:r w:rsidRPr="006D02E3">
              <w:rPr>
                <w:sz w:val="16"/>
                <w:szCs w:val="16"/>
              </w:rPr>
              <w:t xml:space="preserve">Raportarea include și PT </w:t>
            </w:r>
            <w:r w:rsidR="001A75A5" w:rsidRPr="006D02E3">
              <w:rPr>
                <w:sz w:val="16"/>
                <w:szCs w:val="16"/>
              </w:rPr>
              <w:t xml:space="preserve">la care sunt racordate locuri de </w:t>
            </w:r>
            <w:r w:rsidR="009137F6" w:rsidRPr="006D02E3">
              <w:rPr>
                <w:sz w:val="16"/>
                <w:szCs w:val="16"/>
              </w:rPr>
              <w:t>consum/de producere</w:t>
            </w:r>
            <w:r w:rsidR="001A75A5" w:rsidRPr="006D02E3">
              <w:rPr>
                <w:sz w:val="16"/>
                <w:szCs w:val="16"/>
              </w:rPr>
              <w:t xml:space="preserve"> și consum </w:t>
            </w:r>
            <w:r w:rsidRPr="006D02E3">
              <w:rPr>
                <w:sz w:val="16"/>
                <w:szCs w:val="16"/>
              </w:rPr>
              <w:t>integrate în SMI în faza proiectelor pilot</w:t>
            </w:r>
            <w:r w:rsidR="0051515F" w:rsidRPr="006D02E3">
              <w:rPr>
                <w:sz w:val="16"/>
                <w:szCs w:val="16"/>
              </w:rPr>
              <w:t>.</w:t>
            </w:r>
          </w:p>
        </w:tc>
      </w:tr>
      <w:tr w:rsidR="0051515F" w:rsidRPr="00B640E4" w:rsidTr="006D02E3">
        <w:trPr>
          <w:trHeight w:val="227"/>
        </w:trPr>
        <w:tc>
          <w:tcPr>
            <w:tcW w:w="253" w:type="pct"/>
            <w:vMerge w:val="restart"/>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val="restart"/>
            <w:shd w:val="clear" w:color="auto" w:fill="auto"/>
            <w:tcMar>
              <w:top w:w="0" w:type="dxa"/>
              <w:left w:w="108" w:type="dxa"/>
              <w:bottom w:w="0" w:type="dxa"/>
              <w:right w:w="108" w:type="dxa"/>
            </w:tcMar>
            <w:vAlign w:val="center"/>
          </w:tcPr>
          <w:p w:rsidR="0051515F" w:rsidRPr="00B640E4" w:rsidRDefault="0051515F" w:rsidP="00775E00">
            <w:pPr>
              <w:rPr>
                <w:sz w:val="20"/>
                <w:szCs w:val="20"/>
                <w:vertAlign w:val="subscript"/>
              </w:rPr>
            </w:pPr>
            <w:r w:rsidRPr="00B640E4">
              <w:rPr>
                <w:sz w:val="20"/>
                <w:szCs w:val="20"/>
              </w:rPr>
              <w:t xml:space="preserve">Numărul </w:t>
            </w:r>
            <w:r>
              <w:rPr>
                <w:sz w:val="20"/>
                <w:szCs w:val="20"/>
              </w:rPr>
              <w:t xml:space="preserve">total </w:t>
            </w:r>
            <w:r w:rsidRPr="00B640E4">
              <w:rPr>
                <w:sz w:val="20"/>
                <w:szCs w:val="20"/>
              </w:rPr>
              <w:t xml:space="preserve">de </w:t>
            </w:r>
            <w:r w:rsidR="006855FC">
              <w:rPr>
                <w:sz w:val="20"/>
                <w:szCs w:val="20"/>
              </w:rPr>
              <w:t xml:space="preserve">locuri de </w:t>
            </w:r>
            <w:r w:rsidR="009137F6">
              <w:rPr>
                <w:sz w:val="20"/>
                <w:szCs w:val="20"/>
              </w:rPr>
              <w:t>consum/de producere</w:t>
            </w:r>
            <w:r w:rsidR="006855FC">
              <w:rPr>
                <w:sz w:val="20"/>
                <w:szCs w:val="20"/>
              </w:rPr>
              <w:t xml:space="preserve"> și consum</w:t>
            </w:r>
            <w:r w:rsidRPr="00B640E4">
              <w:rPr>
                <w:sz w:val="20"/>
                <w:szCs w:val="20"/>
              </w:rPr>
              <w:t xml:space="preserve"> din zona de concesiune integra</w:t>
            </w:r>
            <w:r w:rsidR="006855FC">
              <w:rPr>
                <w:sz w:val="20"/>
                <w:szCs w:val="20"/>
              </w:rPr>
              <w:t>te</w:t>
            </w:r>
            <w:r w:rsidRPr="00B640E4">
              <w:rPr>
                <w:sz w:val="20"/>
                <w:szCs w:val="20"/>
              </w:rPr>
              <w:t xml:space="preserve"> în SMI pentru care sunt disponibile date de măsurare din MDMS pentru facturarea </w:t>
            </w:r>
            <w:r w:rsidR="0042665B">
              <w:rPr>
                <w:sz w:val="20"/>
                <w:szCs w:val="20"/>
              </w:rPr>
              <w:t>pe baza datelor măsurate</w:t>
            </w:r>
            <w:r w:rsidRPr="00B640E4">
              <w:rPr>
                <w:sz w:val="20"/>
                <w:szCs w:val="20"/>
              </w:rPr>
              <w:t xml:space="preserve">, la sfârșitul fiecărei luni din anul de raportare </w:t>
            </w:r>
          </w:p>
        </w:tc>
        <w:tc>
          <w:tcPr>
            <w:tcW w:w="960" w:type="pct"/>
            <w:vMerge w:val="restart"/>
            <w:shd w:val="clear" w:color="auto" w:fill="auto"/>
            <w:tcMar>
              <w:top w:w="0" w:type="dxa"/>
              <w:left w:w="108" w:type="dxa"/>
              <w:bottom w:w="0" w:type="dxa"/>
              <w:right w:w="108" w:type="dxa"/>
            </w:tcMar>
            <w:vAlign w:val="center"/>
          </w:tcPr>
          <w:p w:rsidR="0051515F" w:rsidRPr="00B640E4" w:rsidRDefault="00BE141B" w:rsidP="00775E00">
            <w:pPr>
              <w:jc w:val="center"/>
              <w:rPr>
                <w:i/>
                <w:vertAlign w:val="subscript"/>
              </w:rPr>
            </w:pPr>
            <m:oMathPara>
              <m:oMath>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LCSMI</m:t>
                    </m:r>
                  </m:sub>
                </m:sSub>
              </m:oMath>
            </m:oMathPara>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val="restart"/>
            <w:shd w:val="clear" w:color="auto" w:fill="auto"/>
            <w:tcMar>
              <w:top w:w="0" w:type="dxa"/>
              <w:left w:w="108" w:type="dxa"/>
              <w:bottom w:w="0" w:type="dxa"/>
              <w:right w:w="108" w:type="dxa"/>
            </w:tcMar>
            <w:vAlign w:val="center"/>
          </w:tcPr>
          <w:p w:rsidR="0051515F" w:rsidRPr="00B640E4" w:rsidRDefault="00BE141B" w:rsidP="00775E00">
            <w:pPr>
              <w:numPr>
                <w:ilvl w:val="0"/>
                <w:numId w:val="23"/>
              </w:numPr>
              <w:suppressAutoHyphens/>
              <w:autoSpaceDN w:val="0"/>
              <w:spacing w:before="120" w:after="280" w:line="247" w:lineRule="auto"/>
              <w:ind w:left="0" w:hanging="218"/>
              <w:textAlignment w:val="baseline"/>
              <w:rPr>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n</m:t>
                  </m:r>
                </m:e>
                <m:sub>
                  <m:r>
                    <w:rPr>
                      <w:rFonts w:ascii="Cambria Math" w:hAnsi="Cambria Math"/>
                      <w:sz w:val="20"/>
                      <w:szCs w:val="20"/>
                      <w:vertAlign w:val="subscript"/>
                    </w:rPr>
                    <m:t>LCSMI</m:t>
                  </m:r>
                </m:sub>
              </m:sSub>
            </m:oMath>
            <w:r w:rsidR="0051515F" w:rsidRPr="00B640E4">
              <w:rPr>
                <w:sz w:val="20"/>
                <w:szCs w:val="20"/>
              </w:rPr>
              <w:t xml:space="preserve"> - </w:t>
            </w:r>
            <w:r w:rsidR="0051515F" w:rsidRPr="00AF42DA">
              <w:rPr>
                <w:sz w:val="18"/>
                <w:szCs w:val="18"/>
              </w:rPr>
              <w:t xml:space="preserve">numărul </w:t>
            </w:r>
            <w:r w:rsidR="006855FC" w:rsidRPr="00AF42DA">
              <w:rPr>
                <w:sz w:val="18"/>
                <w:szCs w:val="18"/>
              </w:rPr>
              <w:t xml:space="preserve">total </w:t>
            </w:r>
            <w:r w:rsidR="0051515F" w:rsidRPr="00AF42DA">
              <w:rPr>
                <w:sz w:val="18"/>
                <w:szCs w:val="18"/>
              </w:rPr>
              <w:t xml:space="preserve">de </w:t>
            </w:r>
            <w:r w:rsidR="006855FC" w:rsidRPr="00AF42DA">
              <w:rPr>
                <w:sz w:val="18"/>
                <w:szCs w:val="18"/>
              </w:rPr>
              <w:t xml:space="preserve">locuri de </w:t>
            </w:r>
            <w:r w:rsidR="009137F6">
              <w:rPr>
                <w:sz w:val="18"/>
                <w:szCs w:val="18"/>
              </w:rPr>
              <w:t>consum/de producere</w:t>
            </w:r>
            <w:r w:rsidR="006855FC" w:rsidRPr="00AF42DA">
              <w:rPr>
                <w:sz w:val="18"/>
                <w:szCs w:val="18"/>
              </w:rPr>
              <w:t xml:space="preserve"> și consum</w:t>
            </w:r>
            <w:r w:rsidR="0051515F" w:rsidRPr="00AF42DA">
              <w:rPr>
                <w:sz w:val="18"/>
                <w:szCs w:val="18"/>
              </w:rPr>
              <w:t xml:space="preserve"> integra</w:t>
            </w:r>
            <w:r w:rsidR="006855FC" w:rsidRPr="00AF42DA">
              <w:rPr>
                <w:sz w:val="18"/>
                <w:szCs w:val="18"/>
              </w:rPr>
              <w:t>te</w:t>
            </w:r>
            <w:r w:rsidR="0051515F" w:rsidRPr="00AF42DA">
              <w:rPr>
                <w:sz w:val="18"/>
                <w:szCs w:val="18"/>
              </w:rPr>
              <w:t xml:space="preserve"> în SMI </w:t>
            </w:r>
            <w:r w:rsidR="00B864CA" w:rsidRPr="00AF42DA">
              <w:rPr>
                <w:sz w:val="18"/>
                <w:szCs w:val="18"/>
              </w:rPr>
              <w:t xml:space="preserve">pentru care sunt disponibile date de măsurare din MDMS pentru facturarea </w:t>
            </w:r>
            <w:r w:rsidR="0042665B">
              <w:rPr>
                <w:sz w:val="20"/>
                <w:szCs w:val="20"/>
              </w:rPr>
              <w:t>pe baza datelor măsurate</w:t>
            </w:r>
            <w:r w:rsidR="00B864CA" w:rsidRPr="00AF42DA">
              <w:rPr>
                <w:sz w:val="18"/>
                <w:szCs w:val="18"/>
              </w:rPr>
              <w:t xml:space="preserve"> </w:t>
            </w:r>
            <w:r w:rsidR="0051515F" w:rsidRPr="00AF42DA">
              <w:rPr>
                <w:sz w:val="18"/>
                <w:szCs w:val="18"/>
              </w:rPr>
              <w:t>la sfârșitul lunii pentru care se face raportarea</w:t>
            </w:r>
          </w:p>
        </w:tc>
        <w:tc>
          <w:tcPr>
            <w:tcW w:w="740" w:type="pct"/>
            <w:vMerge w:val="restart"/>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r w:rsidRPr="006D02E3">
              <w:rPr>
                <w:sz w:val="16"/>
                <w:szCs w:val="16"/>
              </w:rPr>
              <w:t>Raportarea se transmite anual pentru fiecare lună a anului de raportare.</w:t>
            </w: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227"/>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suppressAutoHyphens/>
              <w:autoSpaceDN w:val="0"/>
              <w:spacing w:before="120" w:after="280" w:line="247" w:lineRule="auto"/>
              <w:ind w:left="0" w:hanging="218"/>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4"/>
        </w:trPr>
        <w:tc>
          <w:tcPr>
            <w:tcW w:w="253" w:type="pct"/>
            <w:vMerge w:val="restart"/>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val="restart"/>
            <w:shd w:val="clear" w:color="auto" w:fill="auto"/>
            <w:tcMar>
              <w:top w:w="0" w:type="dxa"/>
              <w:left w:w="108" w:type="dxa"/>
              <w:bottom w:w="0" w:type="dxa"/>
              <w:right w:w="108" w:type="dxa"/>
            </w:tcMar>
            <w:vAlign w:val="center"/>
          </w:tcPr>
          <w:p w:rsidR="0051515F" w:rsidRPr="00B640E4" w:rsidRDefault="0051515F" w:rsidP="00775E00">
            <w:pPr>
              <w:rPr>
                <w:sz w:val="20"/>
                <w:szCs w:val="20"/>
                <w:vertAlign w:val="subscript"/>
              </w:rPr>
            </w:pPr>
            <w:r w:rsidRPr="00B640E4">
              <w:rPr>
                <w:sz w:val="20"/>
                <w:szCs w:val="20"/>
              </w:rPr>
              <w:t xml:space="preserve">Numărul </w:t>
            </w:r>
            <w:r>
              <w:rPr>
                <w:sz w:val="20"/>
                <w:szCs w:val="20"/>
              </w:rPr>
              <w:t xml:space="preserve">total </w:t>
            </w:r>
            <w:r w:rsidRPr="00B640E4">
              <w:rPr>
                <w:sz w:val="20"/>
                <w:szCs w:val="20"/>
              </w:rPr>
              <w:t xml:space="preserve">de </w:t>
            </w:r>
            <w:r w:rsidR="006855FC">
              <w:rPr>
                <w:sz w:val="20"/>
                <w:szCs w:val="20"/>
              </w:rPr>
              <w:t xml:space="preserve">locuri de </w:t>
            </w:r>
            <w:r w:rsidR="009137F6">
              <w:rPr>
                <w:sz w:val="20"/>
                <w:szCs w:val="20"/>
              </w:rPr>
              <w:t>consum/de producere</w:t>
            </w:r>
            <w:r w:rsidR="006855FC">
              <w:rPr>
                <w:sz w:val="20"/>
                <w:szCs w:val="20"/>
              </w:rPr>
              <w:t xml:space="preserve"> și consum</w:t>
            </w:r>
            <w:r w:rsidRPr="00B640E4">
              <w:rPr>
                <w:sz w:val="20"/>
                <w:szCs w:val="20"/>
              </w:rPr>
              <w:t xml:space="preserve"> din zona de concesiune integra</w:t>
            </w:r>
            <w:r w:rsidR="006855FC">
              <w:rPr>
                <w:sz w:val="20"/>
                <w:szCs w:val="20"/>
              </w:rPr>
              <w:t>te</w:t>
            </w:r>
            <w:r w:rsidRPr="00B640E4">
              <w:rPr>
                <w:sz w:val="20"/>
                <w:szCs w:val="20"/>
              </w:rPr>
              <w:t xml:space="preserve"> în SMI pentru care facturarea s-a realizat pe baza </w:t>
            </w:r>
            <w:r w:rsidR="0042665B">
              <w:rPr>
                <w:sz w:val="20"/>
                <w:szCs w:val="20"/>
              </w:rPr>
              <w:t>pe baza datelor măsurate</w:t>
            </w:r>
            <w:r w:rsidRPr="00B640E4">
              <w:rPr>
                <w:sz w:val="20"/>
                <w:szCs w:val="20"/>
              </w:rPr>
              <w:t xml:space="preserve"> înregistrat</w:t>
            </w:r>
            <w:r w:rsidR="0042665B">
              <w:rPr>
                <w:sz w:val="20"/>
                <w:szCs w:val="20"/>
              </w:rPr>
              <w:t>e</w:t>
            </w:r>
            <w:r w:rsidRPr="00B640E4">
              <w:rPr>
                <w:sz w:val="20"/>
                <w:szCs w:val="20"/>
              </w:rPr>
              <w:t xml:space="preserve"> în SMI, aferent lunii, la sfârșitul fiecărei luni din anul de raportare</w:t>
            </w:r>
          </w:p>
        </w:tc>
        <w:tc>
          <w:tcPr>
            <w:tcW w:w="960" w:type="pct"/>
            <w:vMerge w:val="restart"/>
            <w:shd w:val="clear" w:color="auto" w:fill="auto"/>
            <w:tcMar>
              <w:top w:w="0" w:type="dxa"/>
              <w:left w:w="108" w:type="dxa"/>
              <w:bottom w:w="0" w:type="dxa"/>
              <w:right w:w="108" w:type="dxa"/>
            </w:tcMar>
            <w:vAlign w:val="center"/>
          </w:tcPr>
          <w:p w:rsidR="0051515F" w:rsidRPr="00B640E4" w:rsidRDefault="00BE141B" w:rsidP="00775E00">
            <w:pPr>
              <w:jc w:val="center"/>
              <w:rPr>
                <w:i/>
                <w:vertAlign w:val="subscript"/>
              </w:rPr>
            </w:pPr>
            <m:oMathPara>
              <m:oMath>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LCSMIf</m:t>
                    </m:r>
                  </m:sub>
                </m:sSub>
              </m:oMath>
            </m:oMathPara>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val="restart"/>
            <w:shd w:val="clear" w:color="auto" w:fill="auto"/>
            <w:tcMar>
              <w:top w:w="0" w:type="dxa"/>
              <w:left w:w="108" w:type="dxa"/>
              <w:bottom w:w="0" w:type="dxa"/>
              <w:right w:w="108" w:type="dxa"/>
            </w:tcMar>
            <w:vAlign w:val="center"/>
          </w:tcPr>
          <w:p w:rsidR="0051515F" w:rsidRPr="00B640E4" w:rsidRDefault="00BE141B" w:rsidP="00775E00">
            <w:pPr>
              <w:numPr>
                <w:ilvl w:val="0"/>
                <w:numId w:val="23"/>
              </w:numPr>
              <w:tabs>
                <w:tab w:val="left" w:pos="291"/>
              </w:tabs>
              <w:suppressAutoHyphens/>
              <w:autoSpaceDN w:val="0"/>
              <w:spacing w:before="120" w:line="247" w:lineRule="auto"/>
              <w:ind w:left="0"/>
              <w:textAlignment w:val="baseline"/>
              <w:rPr>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n</m:t>
                  </m:r>
                </m:e>
                <m:sub>
                  <m:r>
                    <w:rPr>
                      <w:rFonts w:ascii="Cambria Math" w:hAnsi="Cambria Math"/>
                      <w:sz w:val="20"/>
                      <w:szCs w:val="20"/>
                      <w:vertAlign w:val="subscript"/>
                    </w:rPr>
                    <m:t>LCSMIf</m:t>
                  </m:r>
                </m:sub>
              </m:sSub>
            </m:oMath>
            <w:r w:rsidR="0051515F" w:rsidRPr="00B640E4">
              <w:rPr>
                <w:sz w:val="20"/>
                <w:szCs w:val="20"/>
              </w:rPr>
              <w:t xml:space="preserve"> - </w:t>
            </w:r>
            <w:r w:rsidR="0051515F" w:rsidRPr="00AF42DA">
              <w:rPr>
                <w:sz w:val="18"/>
                <w:szCs w:val="18"/>
              </w:rPr>
              <w:t xml:space="preserve">numărul </w:t>
            </w:r>
            <w:r w:rsidR="006855FC" w:rsidRPr="00AF42DA">
              <w:rPr>
                <w:sz w:val="18"/>
                <w:szCs w:val="18"/>
              </w:rPr>
              <w:t>total</w:t>
            </w:r>
            <w:r w:rsidR="0051515F" w:rsidRPr="00AF42DA">
              <w:rPr>
                <w:sz w:val="18"/>
                <w:szCs w:val="18"/>
              </w:rPr>
              <w:t xml:space="preserve"> de </w:t>
            </w:r>
            <w:r w:rsidR="006855FC" w:rsidRPr="00AF42DA">
              <w:rPr>
                <w:sz w:val="18"/>
                <w:szCs w:val="18"/>
              </w:rPr>
              <w:t xml:space="preserve">locuri de </w:t>
            </w:r>
            <w:r w:rsidR="009137F6">
              <w:rPr>
                <w:sz w:val="18"/>
                <w:szCs w:val="18"/>
              </w:rPr>
              <w:t>consum/de producere</w:t>
            </w:r>
            <w:r w:rsidR="006855FC" w:rsidRPr="00AF42DA">
              <w:rPr>
                <w:sz w:val="18"/>
                <w:szCs w:val="18"/>
              </w:rPr>
              <w:t xml:space="preserve"> și consum </w:t>
            </w:r>
            <w:r w:rsidR="0051515F" w:rsidRPr="00AF42DA">
              <w:rPr>
                <w:sz w:val="18"/>
                <w:szCs w:val="18"/>
              </w:rPr>
              <w:t>pentru care energi</w:t>
            </w:r>
            <w:r w:rsidR="0042665B">
              <w:rPr>
                <w:sz w:val="18"/>
                <w:szCs w:val="18"/>
              </w:rPr>
              <w:t>a</w:t>
            </w:r>
            <w:r w:rsidR="0051515F" w:rsidRPr="00AF42DA">
              <w:rPr>
                <w:sz w:val="18"/>
                <w:szCs w:val="18"/>
              </w:rPr>
              <w:t xml:space="preserve"> electrică </w:t>
            </w:r>
            <w:r w:rsidR="0042665B" w:rsidRPr="00AF42DA">
              <w:rPr>
                <w:sz w:val="18"/>
                <w:szCs w:val="18"/>
              </w:rPr>
              <w:t xml:space="preserve">s-a facturat </w:t>
            </w:r>
            <w:r w:rsidR="0051515F" w:rsidRPr="00AF42DA">
              <w:rPr>
                <w:sz w:val="18"/>
                <w:szCs w:val="18"/>
              </w:rPr>
              <w:t>conform înregistrărilor validate și stocate în MDMS la sfârșitul lunii pentru care se face raportarea</w:t>
            </w:r>
          </w:p>
        </w:tc>
        <w:tc>
          <w:tcPr>
            <w:tcW w:w="740" w:type="pct"/>
            <w:vMerge w:val="restart"/>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r w:rsidRPr="006D02E3">
              <w:rPr>
                <w:sz w:val="16"/>
                <w:szCs w:val="16"/>
              </w:rPr>
              <w:t>Raportarea se transmite anual pentru fiecare lună a anului de raportare.</w:t>
            </w:r>
          </w:p>
          <w:p w:rsidR="0051515F" w:rsidRPr="006D02E3" w:rsidRDefault="0051515F" w:rsidP="00775E00">
            <w:pPr>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51515F" w:rsidRPr="00B640E4" w:rsidTr="006D02E3">
        <w:trPr>
          <w:trHeight w:val="151"/>
        </w:trPr>
        <w:tc>
          <w:tcPr>
            <w:tcW w:w="253" w:type="pct"/>
            <w:vMerge/>
            <w:shd w:val="clear" w:color="auto" w:fill="auto"/>
            <w:tcMar>
              <w:top w:w="0" w:type="dxa"/>
              <w:left w:w="108" w:type="dxa"/>
              <w:bottom w:w="0" w:type="dxa"/>
              <w:right w:w="108" w:type="dxa"/>
            </w:tcMar>
            <w:vAlign w:val="center"/>
          </w:tcPr>
          <w:p w:rsidR="0051515F" w:rsidRPr="00B640E4" w:rsidRDefault="0051515F" w:rsidP="00775E00">
            <w:pPr>
              <w:numPr>
                <w:ilvl w:val="0"/>
                <w:numId w:val="30"/>
              </w:numPr>
              <w:suppressAutoHyphens/>
              <w:autoSpaceDN w:val="0"/>
              <w:spacing w:before="120" w:after="280" w:line="247" w:lineRule="auto"/>
              <w:ind w:left="176" w:hanging="218"/>
              <w:jc w:val="center"/>
              <w:textAlignment w:val="baseline"/>
            </w:pPr>
          </w:p>
        </w:tc>
        <w:tc>
          <w:tcPr>
            <w:tcW w:w="1111" w:type="pct"/>
            <w:vMerge/>
            <w:shd w:val="clear" w:color="auto" w:fill="auto"/>
            <w:tcMar>
              <w:top w:w="0" w:type="dxa"/>
              <w:left w:w="108" w:type="dxa"/>
              <w:bottom w:w="0" w:type="dxa"/>
              <w:right w:w="108" w:type="dxa"/>
            </w:tcMar>
            <w:vAlign w:val="center"/>
          </w:tcPr>
          <w:p w:rsidR="0051515F" w:rsidRPr="00B640E4" w:rsidRDefault="0051515F" w:rsidP="00775E00">
            <w:pPr>
              <w:rPr>
                <w:sz w:val="20"/>
                <w:szCs w:val="20"/>
              </w:rPr>
            </w:pPr>
          </w:p>
        </w:tc>
        <w:tc>
          <w:tcPr>
            <w:tcW w:w="960" w:type="pct"/>
            <w:vMerge/>
            <w:shd w:val="clear" w:color="auto" w:fill="auto"/>
            <w:tcMar>
              <w:top w:w="0" w:type="dxa"/>
              <w:left w:w="108" w:type="dxa"/>
              <w:bottom w:w="0" w:type="dxa"/>
              <w:right w:w="108" w:type="dxa"/>
            </w:tcMar>
            <w:vAlign w:val="center"/>
          </w:tcPr>
          <w:p w:rsidR="0051515F" w:rsidRDefault="0051515F" w:rsidP="00775E00">
            <w:pPr>
              <w:jc w:val="center"/>
              <w:rPr>
                <w:rFonts w:eastAsia="Calibri"/>
                <w:vertAlign w:val="subscript"/>
              </w:rPr>
            </w:pPr>
          </w:p>
        </w:tc>
        <w:tc>
          <w:tcPr>
            <w:tcW w:w="403" w:type="pct"/>
          </w:tcPr>
          <w:p w:rsidR="0051515F" w:rsidRDefault="0051515F" w:rsidP="0051515F">
            <w:pPr>
              <w:numPr>
                <w:ilvl w:val="0"/>
                <w:numId w:val="23"/>
              </w:numPr>
              <w:suppressAutoHyphens/>
              <w:autoSpaceDN w:val="0"/>
              <w:spacing w:line="247" w:lineRule="auto"/>
              <w:ind w:left="0" w:hanging="215"/>
              <w:textAlignment w:val="baseline"/>
              <w:rPr>
                <w:rFonts w:eastAsia="Times New Roman"/>
                <w:sz w:val="20"/>
                <w:szCs w:val="20"/>
                <w:vertAlign w:val="subscript"/>
              </w:rPr>
            </w:pPr>
          </w:p>
        </w:tc>
        <w:tc>
          <w:tcPr>
            <w:tcW w:w="1533" w:type="pct"/>
            <w:vMerge/>
            <w:shd w:val="clear" w:color="auto" w:fill="auto"/>
            <w:tcMar>
              <w:top w:w="0" w:type="dxa"/>
              <w:left w:w="108" w:type="dxa"/>
              <w:bottom w:w="0" w:type="dxa"/>
              <w:right w:w="108" w:type="dxa"/>
            </w:tcMar>
            <w:vAlign w:val="center"/>
          </w:tcPr>
          <w:p w:rsidR="0051515F" w:rsidRDefault="0051515F" w:rsidP="00775E00">
            <w:pPr>
              <w:numPr>
                <w:ilvl w:val="0"/>
                <w:numId w:val="23"/>
              </w:numPr>
              <w:tabs>
                <w:tab w:val="left" w:pos="291"/>
              </w:tabs>
              <w:suppressAutoHyphens/>
              <w:autoSpaceDN w:val="0"/>
              <w:spacing w:before="120" w:line="247" w:lineRule="auto"/>
              <w:ind w:left="0"/>
              <w:textAlignment w:val="baseline"/>
              <w:rPr>
                <w:rFonts w:eastAsia="Times New Roman"/>
                <w:sz w:val="20"/>
                <w:szCs w:val="20"/>
                <w:vertAlign w:val="subscript"/>
              </w:rPr>
            </w:pPr>
          </w:p>
        </w:tc>
        <w:tc>
          <w:tcPr>
            <w:tcW w:w="740" w:type="pct"/>
            <w:vMerge/>
            <w:shd w:val="clear" w:color="auto" w:fill="auto"/>
            <w:tcMar>
              <w:top w:w="0" w:type="dxa"/>
              <w:left w:w="108" w:type="dxa"/>
              <w:bottom w:w="0" w:type="dxa"/>
              <w:right w:w="108" w:type="dxa"/>
            </w:tcMar>
            <w:vAlign w:val="center"/>
          </w:tcPr>
          <w:p w:rsidR="0051515F" w:rsidRPr="006D02E3" w:rsidRDefault="0051515F" w:rsidP="00775E00">
            <w:pPr>
              <w:tabs>
                <w:tab w:val="left" w:pos="201"/>
              </w:tabs>
              <w:rPr>
                <w:sz w:val="16"/>
                <w:szCs w:val="16"/>
              </w:rPr>
            </w:pPr>
          </w:p>
        </w:tc>
      </w:tr>
      <w:tr w:rsidR="00F21189" w:rsidRPr="00B640E4" w:rsidTr="006D02E3">
        <w:trPr>
          <w:trHeight w:val="429"/>
        </w:trPr>
        <w:tc>
          <w:tcPr>
            <w:tcW w:w="253" w:type="pct"/>
            <w:shd w:val="clear" w:color="auto" w:fill="auto"/>
            <w:tcMar>
              <w:top w:w="0" w:type="dxa"/>
              <w:left w:w="108" w:type="dxa"/>
              <w:bottom w:w="0" w:type="dxa"/>
              <w:right w:w="108" w:type="dxa"/>
            </w:tcMar>
            <w:vAlign w:val="center"/>
          </w:tcPr>
          <w:p w:rsidR="00F21189" w:rsidRPr="00B640E4" w:rsidRDefault="00F21189" w:rsidP="00775E00">
            <w:pPr>
              <w:numPr>
                <w:ilvl w:val="0"/>
                <w:numId w:val="30"/>
              </w:numPr>
              <w:suppressAutoHyphens/>
              <w:autoSpaceDN w:val="0"/>
              <w:spacing w:before="120" w:after="280" w:line="247" w:lineRule="auto"/>
              <w:ind w:left="176" w:hanging="218"/>
              <w:jc w:val="center"/>
              <w:textAlignment w:val="baseline"/>
              <w:rPr>
                <w:color w:val="FF0000"/>
              </w:rPr>
            </w:pPr>
          </w:p>
        </w:tc>
        <w:tc>
          <w:tcPr>
            <w:tcW w:w="1111" w:type="pct"/>
            <w:shd w:val="clear" w:color="auto" w:fill="auto"/>
            <w:tcMar>
              <w:top w:w="0" w:type="dxa"/>
              <w:left w:w="108" w:type="dxa"/>
              <w:bottom w:w="0" w:type="dxa"/>
              <w:right w:w="108" w:type="dxa"/>
            </w:tcMar>
            <w:vAlign w:val="center"/>
          </w:tcPr>
          <w:p w:rsidR="00F21189" w:rsidRPr="001D32C6" w:rsidRDefault="00F21189" w:rsidP="00775E00">
            <w:pPr>
              <w:rPr>
                <w:sz w:val="18"/>
                <w:szCs w:val="18"/>
              </w:rPr>
            </w:pPr>
            <w:r w:rsidRPr="001D32C6">
              <w:rPr>
                <w:sz w:val="18"/>
                <w:szCs w:val="18"/>
              </w:rPr>
              <w:t xml:space="preserve">Numărul </w:t>
            </w:r>
            <w:r>
              <w:rPr>
                <w:sz w:val="18"/>
                <w:szCs w:val="18"/>
              </w:rPr>
              <w:t xml:space="preserve">total </w:t>
            </w:r>
            <w:r w:rsidRPr="001D32C6">
              <w:rPr>
                <w:sz w:val="18"/>
                <w:szCs w:val="18"/>
              </w:rPr>
              <w:t xml:space="preserve">de </w:t>
            </w:r>
            <w:r>
              <w:rPr>
                <w:sz w:val="18"/>
                <w:szCs w:val="18"/>
              </w:rPr>
              <w:t xml:space="preserve">locuri de </w:t>
            </w:r>
            <w:r w:rsidR="009137F6">
              <w:rPr>
                <w:sz w:val="18"/>
                <w:szCs w:val="18"/>
              </w:rPr>
              <w:t>consum/de producere</w:t>
            </w:r>
            <w:r>
              <w:rPr>
                <w:sz w:val="18"/>
                <w:szCs w:val="18"/>
              </w:rPr>
              <w:t xml:space="preserve"> și consum</w:t>
            </w:r>
            <w:r w:rsidRPr="001D32C6">
              <w:rPr>
                <w:sz w:val="18"/>
                <w:szCs w:val="18"/>
              </w:rPr>
              <w:t xml:space="preserve"> </w:t>
            </w:r>
            <w:r>
              <w:rPr>
                <w:sz w:val="18"/>
                <w:szCs w:val="18"/>
              </w:rPr>
              <w:t xml:space="preserve">rămase </w:t>
            </w:r>
            <w:r w:rsidRPr="001D32C6">
              <w:rPr>
                <w:sz w:val="18"/>
                <w:szCs w:val="18"/>
              </w:rPr>
              <w:t>neintegrate</w:t>
            </w:r>
            <w:r>
              <w:rPr>
                <w:sz w:val="18"/>
                <w:szCs w:val="18"/>
              </w:rPr>
              <w:t xml:space="preserve"> </w:t>
            </w:r>
            <w:r w:rsidRPr="001D32C6">
              <w:rPr>
                <w:sz w:val="18"/>
                <w:szCs w:val="18"/>
              </w:rPr>
              <w:t xml:space="preserve">în SMI </w:t>
            </w:r>
            <w:r>
              <w:rPr>
                <w:sz w:val="18"/>
                <w:szCs w:val="18"/>
              </w:rPr>
              <w:t>la sfârșitul anului de raportare,</w:t>
            </w:r>
            <w:r w:rsidRPr="001D32C6">
              <w:rPr>
                <w:sz w:val="18"/>
                <w:szCs w:val="18"/>
              </w:rPr>
              <w:t xml:space="preserve"> din </w:t>
            </w:r>
            <w:r>
              <w:rPr>
                <w:sz w:val="18"/>
                <w:szCs w:val="18"/>
              </w:rPr>
              <w:t xml:space="preserve">numărul </w:t>
            </w:r>
            <w:r w:rsidRPr="001D32C6">
              <w:rPr>
                <w:sz w:val="18"/>
                <w:szCs w:val="18"/>
              </w:rPr>
              <w:t xml:space="preserve">total de </w:t>
            </w:r>
            <w:r>
              <w:rPr>
                <w:sz w:val="18"/>
                <w:szCs w:val="18"/>
              </w:rPr>
              <w:t xml:space="preserve">locuri de </w:t>
            </w:r>
            <w:r w:rsidR="009137F6">
              <w:rPr>
                <w:sz w:val="18"/>
                <w:szCs w:val="18"/>
              </w:rPr>
              <w:t>consum/de producere</w:t>
            </w:r>
            <w:r>
              <w:rPr>
                <w:sz w:val="18"/>
                <w:szCs w:val="18"/>
              </w:rPr>
              <w:t xml:space="preserve"> și consum</w:t>
            </w:r>
            <w:r w:rsidRPr="001D32C6">
              <w:rPr>
                <w:sz w:val="18"/>
                <w:szCs w:val="18"/>
              </w:rPr>
              <w:t xml:space="preserve"> </w:t>
            </w:r>
            <w:r>
              <w:rPr>
                <w:sz w:val="18"/>
                <w:szCs w:val="18"/>
              </w:rPr>
              <w:t xml:space="preserve">care </w:t>
            </w:r>
            <w:r>
              <w:rPr>
                <w:sz w:val="18"/>
                <w:szCs w:val="18"/>
              </w:rPr>
              <w:lastRenderedPageBreak/>
              <w:t>trebuiau integrate în SMI până la sfârșitul perioadei de raportare, din care:</w:t>
            </w:r>
          </w:p>
        </w:tc>
        <w:tc>
          <w:tcPr>
            <w:tcW w:w="960" w:type="pct"/>
            <w:shd w:val="clear" w:color="auto" w:fill="auto"/>
            <w:tcMar>
              <w:top w:w="0" w:type="dxa"/>
              <w:left w:w="108" w:type="dxa"/>
              <w:bottom w:w="0" w:type="dxa"/>
              <w:right w:w="108" w:type="dxa"/>
            </w:tcMar>
            <w:vAlign w:val="center"/>
          </w:tcPr>
          <w:p w:rsidR="00F21189" w:rsidRPr="00B640E4" w:rsidRDefault="00F21189" w:rsidP="00775E00">
            <w:pPr>
              <w:jc w:val="center"/>
              <w:rPr>
                <w:i/>
                <w:szCs w:val="18"/>
              </w:rPr>
            </w:pPr>
            <w:r w:rsidRPr="00B640E4">
              <w:rPr>
                <w:i/>
              </w:rPr>
              <w:lastRenderedPageBreak/>
              <w:t>n</w:t>
            </w:r>
            <w:r w:rsidRPr="006855FC">
              <w:rPr>
                <w:i/>
                <w:vertAlign w:val="subscript"/>
              </w:rPr>
              <w:t>LC</w:t>
            </w:r>
            <w:r w:rsidRPr="00B640E4">
              <w:rPr>
                <w:i/>
                <w:szCs w:val="18"/>
                <w:vertAlign w:val="subscript"/>
              </w:rPr>
              <w:t>neintegr_în_SMI</w:t>
            </w:r>
          </w:p>
        </w:tc>
        <w:tc>
          <w:tcPr>
            <w:tcW w:w="403" w:type="pct"/>
          </w:tcPr>
          <w:p w:rsidR="00F21189" w:rsidRPr="00B640E4" w:rsidRDefault="00F21189" w:rsidP="00775E00">
            <w:pPr>
              <w:numPr>
                <w:ilvl w:val="0"/>
                <w:numId w:val="23"/>
              </w:numPr>
              <w:suppressAutoHyphens/>
              <w:autoSpaceDN w:val="0"/>
              <w:spacing w:before="120" w:after="120" w:line="247" w:lineRule="auto"/>
              <w:ind w:left="0" w:hanging="221"/>
              <w:textAlignment w:val="baseline"/>
              <w:rPr>
                <w:sz w:val="20"/>
                <w:szCs w:val="20"/>
              </w:rPr>
            </w:pPr>
          </w:p>
        </w:tc>
        <w:tc>
          <w:tcPr>
            <w:tcW w:w="1533" w:type="pct"/>
            <w:shd w:val="clear" w:color="auto" w:fill="auto"/>
            <w:tcMar>
              <w:top w:w="0" w:type="dxa"/>
              <w:left w:w="108" w:type="dxa"/>
              <w:bottom w:w="0" w:type="dxa"/>
              <w:right w:w="108" w:type="dxa"/>
            </w:tcMar>
            <w:vAlign w:val="center"/>
          </w:tcPr>
          <w:p w:rsidR="00F21189" w:rsidRPr="00AF42DA" w:rsidRDefault="00F21189" w:rsidP="00775E00">
            <w:pPr>
              <w:numPr>
                <w:ilvl w:val="0"/>
                <w:numId w:val="23"/>
              </w:numPr>
              <w:suppressAutoHyphens/>
              <w:autoSpaceDN w:val="0"/>
              <w:spacing w:before="120" w:after="120" w:line="247" w:lineRule="auto"/>
              <w:ind w:left="0" w:hanging="221"/>
              <w:textAlignment w:val="baseline"/>
              <w:rPr>
                <w:sz w:val="18"/>
                <w:szCs w:val="18"/>
              </w:rPr>
            </w:pPr>
            <w:r w:rsidRPr="00AF42DA">
              <w:rPr>
                <w:sz w:val="18"/>
                <w:szCs w:val="18"/>
              </w:rPr>
              <w:t xml:space="preserve">Numărul total de locuri de </w:t>
            </w:r>
            <w:r w:rsidR="009137F6">
              <w:rPr>
                <w:sz w:val="18"/>
                <w:szCs w:val="18"/>
              </w:rPr>
              <w:t>consum/de producere</w:t>
            </w:r>
            <w:r w:rsidRPr="00AF42DA">
              <w:rPr>
                <w:sz w:val="18"/>
                <w:szCs w:val="18"/>
              </w:rPr>
              <w:t xml:space="preserve"> și consum aferente utilizatorilor din zonele în care s-a efectuat implementarea SMI și din afara zonelor de implementare, care au solicitat integrarea în SMI conform prevederilor </w:t>
            </w:r>
            <w:r>
              <w:rPr>
                <w:sz w:val="18"/>
                <w:szCs w:val="18"/>
              </w:rPr>
              <w:t>art. 20</w:t>
            </w:r>
            <w:r w:rsidRPr="00AF42DA">
              <w:rPr>
                <w:sz w:val="18"/>
                <w:szCs w:val="18"/>
              </w:rPr>
              <w:t xml:space="preserve"> și art. 21din condițiile - </w:t>
            </w:r>
            <w:r w:rsidRPr="00AF42DA">
              <w:rPr>
                <w:sz w:val="18"/>
                <w:szCs w:val="18"/>
              </w:rPr>
              <w:lastRenderedPageBreak/>
              <w:t xml:space="preserve">cadru, care au rămas neintegrate în SMI, din diferite motive, până la sfârșitul perioadei de raportare </w:t>
            </w:r>
          </w:p>
        </w:tc>
        <w:tc>
          <w:tcPr>
            <w:tcW w:w="740" w:type="pct"/>
            <w:vMerge w:val="restart"/>
            <w:shd w:val="clear" w:color="auto" w:fill="auto"/>
            <w:tcMar>
              <w:top w:w="0" w:type="dxa"/>
              <w:left w:w="108" w:type="dxa"/>
              <w:bottom w:w="0" w:type="dxa"/>
              <w:right w:w="108" w:type="dxa"/>
            </w:tcMar>
            <w:vAlign w:val="center"/>
          </w:tcPr>
          <w:p w:rsidR="00F21189" w:rsidRPr="006D02E3" w:rsidRDefault="00F21189" w:rsidP="00802B02">
            <w:pPr>
              <w:tabs>
                <w:tab w:val="left" w:pos="186"/>
              </w:tabs>
              <w:suppressAutoHyphens/>
              <w:spacing w:line="247" w:lineRule="auto"/>
              <w:ind w:hanging="26"/>
              <w:textAlignment w:val="baseline"/>
              <w:rPr>
                <w:rFonts w:eastAsia="Calibri"/>
                <w:sz w:val="16"/>
                <w:szCs w:val="16"/>
              </w:rPr>
            </w:pPr>
            <w:r w:rsidRPr="006D02E3">
              <w:rPr>
                <w:rFonts w:eastAsia="Calibri"/>
                <w:sz w:val="16"/>
                <w:szCs w:val="16"/>
              </w:rPr>
              <w:lastRenderedPageBreak/>
              <w:t>Raportarea se transmite anual.</w:t>
            </w:r>
          </w:p>
          <w:p w:rsidR="00F21189" w:rsidRPr="006D02E3" w:rsidRDefault="00F21189" w:rsidP="00802B02">
            <w:pPr>
              <w:tabs>
                <w:tab w:val="left" w:pos="186"/>
              </w:tabs>
              <w:suppressAutoHyphens/>
              <w:spacing w:line="247" w:lineRule="auto"/>
              <w:ind w:hanging="26"/>
              <w:textAlignment w:val="baseline"/>
              <w:rPr>
                <w:rFonts w:eastAsia="Calibri"/>
                <w:sz w:val="16"/>
                <w:szCs w:val="16"/>
              </w:rPr>
            </w:pPr>
            <w:r w:rsidRPr="006D02E3">
              <w:rPr>
                <w:rFonts w:eastAsia="Calibri"/>
                <w:sz w:val="16"/>
                <w:szCs w:val="16"/>
              </w:rPr>
              <w:t xml:space="preserve">Pentru zonele de implementare planificate conform calendarului aprobat se vor raporta atât </w:t>
            </w:r>
            <w:r w:rsidRPr="006D02E3">
              <w:rPr>
                <w:rFonts w:eastAsia="Calibri"/>
                <w:sz w:val="16"/>
                <w:szCs w:val="16"/>
              </w:rPr>
              <w:lastRenderedPageBreak/>
              <w:t xml:space="preserve">locurile de </w:t>
            </w:r>
            <w:r w:rsidR="009137F6" w:rsidRPr="006D02E3">
              <w:rPr>
                <w:rFonts w:eastAsia="Calibri"/>
                <w:sz w:val="16"/>
                <w:szCs w:val="16"/>
              </w:rPr>
              <w:t>consum/de producere</w:t>
            </w:r>
            <w:r w:rsidRPr="006D02E3">
              <w:rPr>
                <w:rFonts w:eastAsia="Calibri"/>
                <w:sz w:val="16"/>
                <w:szCs w:val="16"/>
              </w:rPr>
              <w:t xml:space="preserve"> și consum la care s-au montat contoare integrabile în SMI dar au răma neintegrate până la sfârșitul perioadei de raportare, cât și locurile de </w:t>
            </w:r>
            <w:r w:rsidR="009137F6" w:rsidRPr="006D02E3">
              <w:rPr>
                <w:rFonts w:eastAsia="Calibri"/>
                <w:sz w:val="16"/>
                <w:szCs w:val="16"/>
              </w:rPr>
              <w:t>consum/de producere</w:t>
            </w:r>
            <w:r w:rsidRPr="006D02E3">
              <w:rPr>
                <w:rFonts w:eastAsia="Calibri"/>
                <w:sz w:val="16"/>
                <w:szCs w:val="16"/>
              </w:rPr>
              <w:t xml:space="preserve"> și consum la care nu s-au montat contoare integrabile în SMI din diferite motive (refuz, lipsă acces, procesul de implementare în zonă este încă în curs etc.)</w:t>
            </w:r>
          </w:p>
        </w:tc>
      </w:tr>
      <w:tr w:rsidR="00F21189" w:rsidRPr="00B640E4" w:rsidTr="006D02E3">
        <w:trPr>
          <w:trHeight w:val="1034"/>
        </w:trPr>
        <w:tc>
          <w:tcPr>
            <w:tcW w:w="253" w:type="pct"/>
            <w:shd w:val="clear" w:color="auto" w:fill="auto"/>
            <w:tcMar>
              <w:top w:w="0" w:type="dxa"/>
              <w:left w:w="108" w:type="dxa"/>
              <w:bottom w:w="0" w:type="dxa"/>
              <w:right w:w="108" w:type="dxa"/>
            </w:tcMar>
            <w:vAlign w:val="center"/>
          </w:tcPr>
          <w:p w:rsidR="00F21189" w:rsidRPr="006D02E3" w:rsidRDefault="00F21189" w:rsidP="00775E00">
            <w:pPr>
              <w:suppressAutoHyphens/>
              <w:autoSpaceDN w:val="0"/>
              <w:spacing w:before="120" w:after="280" w:line="247" w:lineRule="auto"/>
              <w:ind w:left="176"/>
              <w:textAlignment w:val="baseline"/>
              <w:rPr>
                <w:sz w:val="20"/>
                <w:szCs w:val="20"/>
              </w:rPr>
            </w:pPr>
            <w:r w:rsidRPr="006D02E3">
              <w:rPr>
                <w:sz w:val="20"/>
                <w:szCs w:val="20"/>
              </w:rPr>
              <w:lastRenderedPageBreak/>
              <w:t>9.1</w:t>
            </w:r>
          </w:p>
        </w:tc>
        <w:tc>
          <w:tcPr>
            <w:tcW w:w="1111" w:type="pct"/>
            <w:shd w:val="clear" w:color="auto" w:fill="auto"/>
            <w:tcMar>
              <w:top w:w="0" w:type="dxa"/>
              <w:left w:w="108" w:type="dxa"/>
              <w:bottom w:w="0" w:type="dxa"/>
              <w:right w:w="108" w:type="dxa"/>
            </w:tcMar>
            <w:vAlign w:val="center"/>
          </w:tcPr>
          <w:p w:rsidR="00F21189" w:rsidRPr="00EF7A03" w:rsidRDefault="00F21189" w:rsidP="00775E00">
            <w:pPr>
              <w:rPr>
                <w:sz w:val="18"/>
                <w:szCs w:val="18"/>
              </w:rPr>
            </w:pPr>
            <w:r>
              <w:rPr>
                <w:sz w:val="18"/>
                <w:szCs w:val="18"/>
              </w:rPr>
              <w:t xml:space="preserve"> - numărul total de </w:t>
            </w:r>
            <w:r w:rsidRPr="006855FC">
              <w:rPr>
                <w:sz w:val="18"/>
                <w:szCs w:val="18"/>
              </w:rPr>
              <w:t>locuri de consum/</w:t>
            </w:r>
            <w:r>
              <w:rPr>
                <w:sz w:val="18"/>
                <w:szCs w:val="18"/>
              </w:rPr>
              <w:t xml:space="preserve"> </w:t>
            </w:r>
            <w:r w:rsidRPr="006855FC">
              <w:rPr>
                <w:sz w:val="18"/>
                <w:szCs w:val="18"/>
              </w:rPr>
              <w:t>producere și consum</w:t>
            </w:r>
            <w:r>
              <w:rPr>
                <w:sz w:val="18"/>
                <w:szCs w:val="18"/>
              </w:rPr>
              <w:t xml:space="preserve"> din zonele de implementare planificate conform calendarului aprobat</w:t>
            </w:r>
          </w:p>
        </w:tc>
        <w:tc>
          <w:tcPr>
            <w:tcW w:w="960" w:type="pct"/>
            <w:shd w:val="clear" w:color="auto" w:fill="auto"/>
            <w:tcMar>
              <w:top w:w="0" w:type="dxa"/>
              <w:left w:w="108" w:type="dxa"/>
              <w:bottom w:w="0" w:type="dxa"/>
              <w:right w:w="108" w:type="dxa"/>
            </w:tcMar>
            <w:vAlign w:val="center"/>
          </w:tcPr>
          <w:p w:rsidR="00F21189" w:rsidRPr="00EF7A03" w:rsidRDefault="00F21189" w:rsidP="00775E00">
            <w:pPr>
              <w:jc w:val="center"/>
              <w:rPr>
                <w:i/>
              </w:rPr>
            </w:pPr>
            <w:r w:rsidRPr="00B640E4">
              <w:rPr>
                <w:i/>
              </w:rPr>
              <w:t>n</w:t>
            </w:r>
            <w:r w:rsidRPr="006855FC">
              <w:rPr>
                <w:i/>
                <w:vertAlign w:val="subscript"/>
              </w:rPr>
              <w:t>LC</w:t>
            </w:r>
            <w:r w:rsidRPr="00B640E4">
              <w:rPr>
                <w:i/>
                <w:szCs w:val="18"/>
                <w:vertAlign w:val="subscript"/>
              </w:rPr>
              <w:t>neintegr_</w:t>
            </w:r>
            <w:r>
              <w:rPr>
                <w:i/>
                <w:szCs w:val="18"/>
                <w:vertAlign w:val="subscript"/>
              </w:rPr>
              <w:t>zone</w:t>
            </w:r>
            <w:r w:rsidRPr="00B640E4">
              <w:rPr>
                <w:i/>
                <w:szCs w:val="18"/>
                <w:vertAlign w:val="subscript"/>
              </w:rPr>
              <w:t>_</w:t>
            </w:r>
            <w:r>
              <w:rPr>
                <w:i/>
                <w:szCs w:val="18"/>
                <w:vertAlign w:val="subscript"/>
              </w:rPr>
              <w:t>pl</w:t>
            </w:r>
          </w:p>
        </w:tc>
        <w:tc>
          <w:tcPr>
            <w:tcW w:w="403" w:type="pct"/>
          </w:tcPr>
          <w:p w:rsidR="00F21189" w:rsidRPr="00B640E4" w:rsidRDefault="00F21189" w:rsidP="00775E00">
            <w:pPr>
              <w:numPr>
                <w:ilvl w:val="0"/>
                <w:numId w:val="23"/>
              </w:numPr>
              <w:suppressAutoHyphens/>
              <w:autoSpaceDN w:val="0"/>
              <w:spacing w:before="120" w:after="120" w:line="247" w:lineRule="auto"/>
              <w:ind w:left="0" w:hanging="221"/>
              <w:textAlignment w:val="baseline"/>
              <w:rPr>
                <w:sz w:val="20"/>
                <w:szCs w:val="20"/>
              </w:rPr>
            </w:pPr>
          </w:p>
        </w:tc>
        <w:tc>
          <w:tcPr>
            <w:tcW w:w="1533" w:type="pct"/>
            <w:shd w:val="clear" w:color="auto" w:fill="auto"/>
            <w:tcMar>
              <w:top w:w="0" w:type="dxa"/>
              <w:left w:w="108" w:type="dxa"/>
              <w:bottom w:w="0" w:type="dxa"/>
              <w:right w:w="108" w:type="dxa"/>
            </w:tcMar>
            <w:vAlign w:val="center"/>
          </w:tcPr>
          <w:p w:rsidR="00F21189" w:rsidRPr="00AF42DA" w:rsidRDefault="00F21189" w:rsidP="00775E00">
            <w:pPr>
              <w:numPr>
                <w:ilvl w:val="0"/>
                <w:numId w:val="23"/>
              </w:numPr>
              <w:suppressAutoHyphens/>
              <w:autoSpaceDN w:val="0"/>
              <w:spacing w:before="120" w:after="120" w:line="247" w:lineRule="auto"/>
              <w:ind w:left="0" w:hanging="221"/>
              <w:textAlignment w:val="baseline"/>
              <w:rPr>
                <w:sz w:val="18"/>
                <w:szCs w:val="18"/>
              </w:rPr>
            </w:pPr>
            <w:r w:rsidRPr="00AF42DA">
              <w:rPr>
                <w:sz w:val="18"/>
                <w:szCs w:val="18"/>
              </w:rPr>
              <w:t xml:space="preserve">Numărul de locuri de </w:t>
            </w:r>
            <w:r w:rsidR="009137F6">
              <w:rPr>
                <w:sz w:val="18"/>
                <w:szCs w:val="18"/>
              </w:rPr>
              <w:t>consum/de producere</w:t>
            </w:r>
            <w:r w:rsidRPr="00AF42DA">
              <w:rPr>
                <w:sz w:val="18"/>
                <w:szCs w:val="18"/>
              </w:rPr>
              <w:t xml:space="preserve"> și consum din zonele planificate conform calendarului aprobat în care s-a efectuat implementarea SMI care au rămas neintegrate în SMI, din diferite motive, până la sfârșitul perioadei de raportare </w:t>
            </w:r>
          </w:p>
        </w:tc>
        <w:tc>
          <w:tcPr>
            <w:tcW w:w="740" w:type="pct"/>
            <w:vMerge/>
            <w:shd w:val="clear" w:color="auto" w:fill="auto"/>
            <w:tcMar>
              <w:top w:w="0" w:type="dxa"/>
              <w:left w:w="108" w:type="dxa"/>
              <w:bottom w:w="0" w:type="dxa"/>
              <w:right w:w="108" w:type="dxa"/>
            </w:tcMar>
            <w:vAlign w:val="center"/>
          </w:tcPr>
          <w:p w:rsidR="00F21189" w:rsidRPr="006D02E3" w:rsidRDefault="00F21189" w:rsidP="00775E00">
            <w:pPr>
              <w:tabs>
                <w:tab w:val="left" w:pos="186"/>
              </w:tabs>
              <w:suppressAutoHyphens/>
              <w:spacing w:before="120" w:after="280" w:line="247" w:lineRule="auto"/>
              <w:ind w:hanging="26"/>
              <w:textAlignment w:val="baseline"/>
              <w:rPr>
                <w:rFonts w:eastAsia="Calibri"/>
                <w:sz w:val="16"/>
                <w:szCs w:val="16"/>
              </w:rPr>
            </w:pPr>
          </w:p>
        </w:tc>
      </w:tr>
      <w:tr w:rsidR="00F21189" w:rsidRPr="00B640E4" w:rsidTr="006D02E3">
        <w:trPr>
          <w:trHeight w:val="1034"/>
        </w:trPr>
        <w:tc>
          <w:tcPr>
            <w:tcW w:w="253" w:type="pct"/>
            <w:shd w:val="clear" w:color="auto" w:fill="auto"/>
            <w:tcMar>
              <w:top w:w="0" w:type="dxa"/>
              <w:left w:w="108" w:type="dxa"/>
              <w:bottom w:w="0" w:type="dxa"/>
              <w:right w:w="108" w:type="dxa"/>
            </w:tcMar>
            <w:vAlign w:val="center"/>
          </w:tcPr>
          <w:p w:rsidR="00F21189" w:rsidRPr="006D02E3" w:rsidRDefault="00F21189" w:rsidP="00775E00">
            <w:pPr>
              <w:suppressAutoHyphens/>
              <w:autoSpaceDN w:val="0"/>
              <w:spacing w:before="120" w:after="280" w:line="247" w:lineRule="auto"/>
              <w:ind w:left="176"/>
              <w:textAlignment w:val="baseline"/>
              <w:rPr>
                <w:sz w:val="20"/>
                <w:szCs w:val="20"/>
              </w:rPr>
            </w:pPr>
            <w:r w:rsidRPr="006D02E3">
              <w:rPr>
                <w:sz w:val="20"/>
                <w:szCs w:val="20"/>
              </w:rPr>
              <w:t>9.2</w:t>
            </w:r>
          </w:p>
        </w:tc>
        <w:tc>
          <w:tcPr>
            <w:tcW w:w="1111" w:type="pct"/>
            <w:shd w:val="clear" w:color="auto" w:fill="auto"/>
            <w:tcMar>
              <w:top w:w="0" w:type="dxa"/>
              <w:left w:w="108" w:type="dxa"/>
              <w:bottom w:w="0" w:type="dxa"/>
              <w:right w:w="108" w:type="dxa"/>
            </w:tcMar>
            <w:vAlign w:val="center"/>
          </w:tcPr>
          <w:p w:rsidR="00F21189" w:rsidRPr="00EF7A03" w:rsidRDefault="00F21189" w:rsidP="00775E00">
            <w:pPr>
              <w:rPr>
                <w:sz w:val="18"/>
                <w:szCs w:val="18"/>
              </w:rPr>
            </w:pPr>
            <w:r>
              <w:rPr>
                <w:sz w:val="18"/>
                <w:szCs w:val="18"/>
              </w:rPr>
              <w:t>- numărul total de</w:t>
            </w:r>
            <w:r>
              <w:t xml:space="preserve"> </w:t>
            </w:r>
            <w:r w:rsidRPr="006855FC">
              <w:rPr>
                <w:sz w:val="18"/>
                <w:szCs w:val="18"/>
              </w:rPr>
              <w:t xml:space="preserve">locuri de </w:t>
            </w:r>
            <w:r w:rsidR="009137F6">
              <w:rPr>
                <w:sz w:val="18"/>
                <w:szCs w:val="18"/>
              </w:rPr>
              <w:t>consum/de producere</w:t>
            </w:r>
            <w:r w:rsidRPr="006855FC">
              <w:rPr>
                <w:sz w:val="18"/>
                <w:szCs w:val="18"/>
              </w:rPr>
              <w:t xml:space="preserve"> și consum</w:t>
            </w:r>
            <w:r>
              <w:rPr>
                <w:sz w:val="18"/>
                <w:szCs w:val="18"/>
              </w:rPr>
              <w:t xml:space="preserve"> aparținând utilizatorilor din afara zonelor de implementare planificate conform calendarului aprobat, care au solicitat integrarea în SMI conform prevederilor art. 20  și art. 21 </w:t>
            </w:r>
            <w:r w:rsidRPr="00B864CA">
              <w:rPr>
                <w:sz w:val="18"/>
                <w:szCs w:val="18"/>
              </w:rPr>
              <w:t xml:space="preserve">alin. (1) – (3) </w:t>
            </w:r>
            <w:r>
              <w:rPr>
                <w:sz w:val="18"/>
                <w:szCs w:val="18"/>
              </w:rPr>
              <w:t>din condițiile-cadru</w:t>
            </w:r>
          </w:p>
        </w:tc>
        <w:tc>
          <w:tcPr>
            <w:tcW w:w="960" w:type="pct"/>
            <w:shd w:val="clear" w:color="auto" w:fill="auto"/>
            <w:tcMar>
              <w:top w:w="0" w:type="dxa"/>
              <w:left w:w="108" w:type="dxa"/>
              <w:bottom w:w="0" w:type="dxa"/>
              <w:right w:w="108" w:type="dxa"/>
            </w:tcMar>
            <w:vAlign w:val="center"/>
          </w:tcPr>
          <w:p w:rsidR="00F21189" w:rsidRPr="00EF7A03" w:rsidRDefault="00F21189" w:rsidP="00775E00">
            <w:pPr>
              <w:jc w:val="center"/>
              <w:rPr>
                <w:i/>
              </w:rPr>
            </w:pPr>
            <w:r w:rsidRPr="00B640E4">
              <w:rPr>
                <w:i/>
              </w:rPr>
              <w:t>n</w:t>
            </w:r>
            <w:r w:rsidRPr="006855FC">
              <w:rPr>
                <w:i/>
                <w:vertAlign w:val="subscript"/>
              </w:rPr>
              <w:t>LC</w:t>
            </w:r>
            <w:r w:rsidRPr="00B640E4">
              <w:rPr>
                <w:i/>
                <w:szCs w:val="18"/>
                <w:vertAlign w:val="subscript"/>
              </w:rPr>
              <w:t>neintegr_</w:t>
            </w:r>
            <w:r>
              <w:rPr>
                <w:i/>
                <w:szCs w:val="18"/>
                <w:vertAlign w:val="subscript"/>
              </w:rPr>
              <w:t>art</w:t>
            </w:r>
            <w:r w:rsidRPr="00B640E4">
              <w:rPr>
                <w:i/>
                <w:szCs w:val="18"/>
                <w:vertAlign w:val="subscript"/>
              </w:rPr>
              <w:t>_</w:t>
            </w:r>
            <w:r>
              <w:rPr>
                <w:i/>
                <w:szCs w:val="18"/>
                <w:vertAlign w:val="subscript"/>
              </w:rPr>
              <w:t>21</w:t>
            </w:r>
          </w:p>
        </w:tc>
        <w:tc>
          <w:tcPr>
            <w:tcW w:w="403" w:type="pct"/>
          </w:tcPr>
          <w:p w:rsidR="00F21189" w:rsidRPr="00B640E4" w:rsidRDefault="00F21189" w:rsidP="00775E00">
            <w:pPr>
              <w:numPr>
                <w:ilvl w:val="0"/>
                <w:numId w:val="23"/>
              </w:numPr>
              <w:suppressAutoHyphens/>
              <w:autoSpaceDN w:val="0"/>
              <w:spacing w:before="120" w:after="120" w:line="247" w:lineRule="auto"/>
              <w:ind w:left="0" w:hanging="221"/>
              <w:textAlignment w:val="baseline"/>
              <w:rPr>
                <w:sz w:val="20"/>
                <w:szCs w:val="20"/>
              </w:rPr>
            </w:pPr>
          </w:p>
        </w:tc>
        <w:tc>
          <w:tcPr>
            <w:tcW w:w="1533" w:type="pct"/>
            <w:shd w:val="clear" w:color="auto" w:fill="auto"/>
            <w:tcMar>
              <w:top w:w="0" w:type="dxa"/>
              <w:left w:w="108" w:type="dxa"/>
              <w:bottom w:w="0" w:type="dxa"/>
              <w:right w:w="108" w:type="dxa"/>
            </w:tcMar>
            <w:vAlign w:val="center"/>
          </w:tcPr>
          <w:p w:rsidR="00F21189" w:rsidRPr="00AF42DA" w:rsidRDefault="00F21189" w:rsidP="00775E00">
            <w:pPr>
              <w:numPr>
                <w:ilvl w:val="0"/>
                <w:numId w:val="23"/>
              </w:numPr>
              <w:suppressAutoHyphens/>
              <w:autoSpaceDN w:val="0"/>
              <w:spacing w:before="120" w:after="120" w:line="247" w:lineRule="auto"/>
              <w:ind w:left="0" w:hanging="221"/>
              <w:textAlignment w:val="baseline"/>
              <w:rPr>
                <w:sz w:val="18"/>
                <w:szCs w:val="18"/>
              </w:rPr>
            </w:pPr>
            <w:r w:rsidRPr="00AF42DA">
              <w:rPr>
                <w:sz w:val="18"/>
                <w:szCs w:val="18"/>
              </w:rPr>
              <w:t xml:space="preserve">Numărul de locuri de </w:t>
            </w:r>
            <w:r w:rsidR="009137F6">
              <w:rPr>
                <w:sz w:val="18"/>
                <w:szCs w:val="18"/>
              </w:rPr>
              <w:t>consum/de producere</w:t>
            </w:r>
            <w:r w:rsidRPr="00AF42DA">
              <w:rPr>
                <w:sz w:val="18"/>
                <w:szCs w:val="18"/>
              </w:rPr>
              <w:t xml:space="preserve"> și consum aferente utilizatorilor din afara zonelor de implementare, care au solicitat integrarea în SMI conform prevederilor </w:t>
            </w:r>
            <w:r>
              <w:rPr>
                <w:sz w:val="18"/>
                <w:szCs w:val="18"/>
              </w:rPr>
              <w:t>art. 20</w:t>
            </w:r>
            <w:r w:rsidRPr="00AF42DA">
              <w:rPr>
                <w:sz w:val="18"/>
                <w:szCs w:val="18"/>
              </w:rPr>
              <w:t xml:space="preserve"> și art. 21 din condițiile - cadru, care au rămas neintegrate în SMI, din diferite motive, până la sfârșitul perioadei de raportare</w:t>
            </w:r>
          </w:p>
        </w:tc>
        <w:tc>
          <w:tcPr>
            <w:tcW w:w="740" w:type="pct"/>
            <w:vMerge/>
            <w:shd w:val="clear" w:color="auto" w:fill="auto"/>
            <w:tcMar>
              <w:top w:w="0" w:type="dxa"/>
              <w:left w:w="108" w:type="dxa"/>
              <w:bottom w:w="0" w:type="dxa"/>
              <w:right w:w="108" w:type="dxa"/>
            </w:tcMar>
            <w:vAlign w:val="center"/>
          </w:tcPr>
          <w:p w:rsidR="00F21189" w:rsidRPr="006D02E3" w:rsidRDefault="00F21189" w:rsidP="00775E00">
            <w:pPr>
              <w:tabs>
                <w:tab w:val="left" w:pos="186"/>
              </w:tabs>
              <w:suppressAutoHyphens/>
              <w:spacing w:before="120" w:after="280" w:line="247" w:lineRule="auto"/>
              <w:ind w:hanging="26"/>
              <w:textAlignment w:val="baseline"/>
              <w:rPr>
                <w:rFonts w:eastAsia="Calibri"/>
                <w:sz w:val="16"/>
                <w:szCs w:val="16"/>
              </w:rPr>
            </w:pPr>
          </w:p>
        </w:tc>
      </w:tr>
      <w:tr w:rsidR="006B43BF" w:rsidRPr="00B640E4" w:rsidTr="006D02E3">
        <w:trPr>
          <w:trHeight w:val="713"/>
        </w:trPr>
        <w:tc>
          <w:tcPr>
            <w:tcW w:w="253" w:type="pct"/>
            <w:shd w:val="clear" w:color="auto" w:fill="auto"/>
            <w:tcMar>
              <w:top w:w="0" w:type="dxa"/>
              <w:left w:w="108" w:type="dxa"/>
              <w:bottom w:w="0" w:type="dxa"/>
              <w:right w:w="108" w:type="dxa"/>
            </w:tcMar>
            <w:vAlign w:val="center"/>
          </w:tcPr>
          <w:p w:rsidR="006B43BF" w:rsidRPr="008A748D" w:rsidRDefault="006B43BF" w:rsidP="008A748D">
            <w:pPr>
              <w:numPr>
                <w:ilvl w:val="0"/>
                <w:numId w:val="30"/>
              </w:numPr>
              <w:suppressAutoHyphens/>
              <w:autoSpaceDN w:val="0"/>
              <w:spacing w:line="247" w:lineRule="auto"/>
              <w:ind w:left="176" w:hanging="218"/>
              <w:jc w:val="center"/>
              <w:textAlignment w:val="baseline"/>
              <w:rPr>
                <w:color w:val="FF0000"/>
              </w:rPr>
            </w:pPr>
            <w:bookmarkStart w:id="4" w:name="_Hlk158817784"/>
          </w:p>
        </w:tc>
        <w:tc>
          <w:tcPr>
            <w:tcW w:w="1111" w:type="pct"/>
            <w:shd w:val="clear" w:color="auto" w:fill="auto"/>
            <w:tcMar>
              <w:top w:w="0" w:type="dxa"/>
              <w:left w:w="108" w:type="dxa"/>
              <w:bottom w:w="0" w:type="dxa"/>
              <w:right w:w="108" w:type="dxa"/>
            </w:tcMar>
            <w:vAlign w:val="center"/>
          </w:tcPr>
          <w:p w:rsidR="00FD3622" w:rsidRDefault="008A748D" w:rsidP="008A748D">
            <w:pPr>
              <w:rPr>
                <w:sz w:val="20"/>
                <w:szCs w:val="20"/>
              </w:rPr>
            </w:pPr>
            <w:r w:rsidRPr="008A748D">
              <w:rPr>
                <w:sz w:val="20"/>
                <w:szCs w:val="20"/>
              </w:rPr>
              <w:t xml:space="preserve">Media anuală a ratelor de succes a transmiterii datelor de la contor la HES/MDMS </w:t>
            </w:r>
          </w:p>
          <w:p w:rsidR="00FD3622" w:rsidRDefault="00FD3622" w:rsidP="008A748D">
            <w:pPr>
              <w:rPr>
                <w:sz w:val="20"/>
                <w:szCs w:val="20"/>
              </w:rPr>
            </w:pPr>
          </w:p>
          <w:p w:rsidR="00FD3622" w:rsidRPr="00FD3622" w:rsidRDefault="00FD3622" w:rsidP="008A748D">
            <w:pPr>
              <w:rPr>
                <w:sz w:val="20"/>
                <w:szCs w:val="20"/>
              </w:rPr>
            </w:pPr>
            <w:r w:rsidRPr="00F7596B">
              <w:rPr>
                <w:b/>
                <w:sz w:val="20"/>
                <w:szCs w:val="20"/>
              </w:rPr>
              <w:t>Notă</w:t>
            </w:r>
            <w:r>
              <w:rPr>
                <w:sz w:val="20"/>
                <w:szCs w:val="20"/>
              </w:rPr>
              <w:t xml:space="preserve">: </w:t>
            </w:r>
            <w:r w:rsidRPr="008F79DD">
              <w:rPr>
                <w:sz w:val="18"/>
                <w:szCs w:val="18"/>
              </w:rPr>
              <w:t>*</w:t>
            </w:r>
            <w:r w:rsidR="008F79DD">
              <w:rPr>
                <w:sz w:val="18"/>
                <w:szCs w:val="18"/>
              </w:rPr>
              <w:t>*</w:t>
            </w:r>
            <w:r>
              <w:rPr>
                <w:sz w:val="20"/>
                <w:szCs w:val="20"/>
              </w:rPr>
              <w:t xml:space="preserve"> - </w:t>
            </w:r>
            <w:r w:rsidR="00F7596B" w:rsidRPr="000F6D9D">
              <w:rPr>
                <w:i/>
                <w:sz w:val="18"/>
                <w:szCs w:val="18"/>
              </w:rPr>
              <w:t xml:space="preserve">Raportul pe baza căruia se determină indicatorul trebuie să conțină toate ID-urile locurilor de consum integrate în SMI până în ultima zi din perioada de raportare (inclusiv cele integrate în </w:t>
            </w:r>
            <w:r w:rsidR="001F10A2">
              <w:rPr>
                <w:i/>
                <w:sz w:val="18"/>
                <w:szCs w:val="18"/>
              </w:rPr>
              <w:t xml:space="preserve">SMI în </w:t>
            </w:r>
            <w:r w:rsidR="00F7596B" w:rsidRPr="000F6D9D">
              <w:rPr>
                <w:i/>
                <w:sz w:val="18"/>
                <w:szCs w:val="18"/>
              </w:rPr>
              <w:t>perioada proiectelor pilot), cu valori unice (o singură poziție pentru fiecare ID</w:t>
            </w:r>
            <w:r w:rsidR="000F6D9D" w:rsidRPr="000F6D9D">
              <w:rPr>
                <w:i/>
                <w:sz w:val="18"/>
                <w:szCs w:val="18"/>
              </w:rPr>
              <w:t>,</w:t>
            </w:r>
            <w:r w:rsidR="00F7596B" w:rsidRPr="000F6D9D">
              <w:rPr>
                <w:i/>
                <w:sz w:val="18"/>
                <w:szCs w:val="18"/>
              </w:rPr>
              <w:t xml:space="preserve"> pentru fiecare zi din perioada de raportare</w:t>
            </w:r>
            <w:r w:rsidR="000F6D9D" w:rsidRPr="000F6D9D">
              <w:rPr>
                <w:i/>
                <w:sz w:val="18"/>
                <w:szCs w:val="18"/>
              </w:rPr>
              <w:t>)</w:t>
            </w:r>
          </w:p>
        </w:tc>
        <w:tc>
          <w:tcPr>
            <w:tcW w:w="960" w:type="pct"/>
            <w:shd w:val="clear" w:color="auto" w:fill="auto"/>
            <w:tcMar>
              <w:top w:w="0" w:type="dxa"/>
              <w:left w:w="108" w:type="dxa"/>
              <w:bottom w:w="0" w:type="dxa"/>
              <w:right w:w="108" w:type="dxa"/>
            </w:tcMar>
            <w:vAlign w:val="center"/>
          </w:tcPr>
          <w:p w:rsidR="00591DFD" w:rsidRPr="00591DFD" w:rsidRDefault="00BE141B" w:rsidP="00591DFD">
            <w:pPr>
              <w:rPr>
                <w:sz w:val="18"/>
                <w:szCs w:val="18"/>
              </w:rPr>
            </w:pPr>
            <m:oMathPara>
              <m:oMath>
                <m:sSub>
                  <m:sSubPr>
                    <m:ctrlPr>
                      <w:rPr>
                        <w:rFonts w:ascii="Cambria Math" w:hAnsi="Cambria Math"/>
                        <w:sz w:val="16"/>
                        <w:szCs w:val="16"/>
                      </w:rPr>
                    </m:ctrlPr>
                  </m:sSubPr>
                  <m:e>
                    <m:r>
                      <m:rPr>
                        <m:sty m:val="p"/>
                      </m:rPr>
                      <w:rPr>
                        <w:rFonts w:ascii="Cambria Math" w:hAnsi="Cambria Math"/>
                        <w:sz w:val="16"/>
                        <w:szCs w:val="16"/>
                      </w:rPr>
                      <m:t>M</m:t>
                    </m:r>
                  </m:e>
                  <m:sub>
                    <m:r>
                      <m:rPr>
                        <m:sty m:val="p"/>
                      </m:rPr>
                      <w:rPr>
                        <w:rFonts w:ascii="Cambria Math" w:hAnsi="Cambria Math"/>
                        <w:sz w:val="16"/>
                        <w:szCs w:val="16"/>
                        <w:vertAlign w:val="subscript"/>
                      </w:rPr>
                      <m:t>Rstd</m:t>
                    </m:r>
                  </m:sub>
                </m:sSub>
                <m:r>
                  <m:rPr>
                    <m:sty m:val="p"/>
                  </m:rPr>
                  <w:rPr>
                    <w:rFonts w:ascii="Cambria Math" w:hAnsi="Cambria Math"/>
                    <w:sz w:val="16"/>
                    <w:szCs w:val="16"/>
                    <w:vertAlign w:val="subscript"/>
                  </w:rPr>
                  <m:t>=</m:t>
                </m:r>
                <m:f>
                  <m:fPr>
                    <m:ctrlPr>
                      <w:rPr>
                        <w:rFonts w:ascii="Cambria Math" w:hAnsi="Cambria Math"/>
                        <w:i/>
                        <w:sz w:val="16"/>
                        <w:szCs w:val="16"/>
                      </w:rPr>
                    </m:ctrlPr>
                  </m:fPr>
                  <m:num>
                    <m:nary>
                      <m:naryPr>
                        <m:chr m:val="∑"/>
                        <m:limLoc m:val="undOvr"/>
                        <m:ctrlPr>
                          <w:rPr>
                            <w:rFonts w:ascii="Cambria Math" w:hAnsi="Cambria Math"/>
                            <w:i/>
                            <w:sz w:val="16"/>
                            <w:szCs w:val="16"/>
                          </w:rPr>
                        </m:ctrlPr>
                      </m:naryPr>
                      <m:sub>
                        <m:r>
                          <w:rPr>
                            <w:rFonts w:ascii="Cambria Math" w:hAnsi="Cambria Math"/>
                            <w:sz w:val="16"/>
                            <w:szCs w:val="16"/>
                          </w:rPr>
                          <m:t>k=1</m:t>
                        </m:r>
                      </m:sub>
                      <m:sup>
                        <m:r>
                          <w:rPr>
                            <w:rFonts w:ascii="Cambria Math" w:hAnsi="Cambria Math"/>
                            <w:sz w:val="16"/>
                            <w:szCs w:val="16"/>
                          </w:rPr>
                          <m:t>m</m:t>
                        </m:r>
                      </m:sup>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kindex&gt;0</m:t>
                            </m:r>
                          </m:sub>
                        </m:sSub>
                      </m:e>
                    </m:nary>
                  </m:num>
                  <m:den>
                    <m:nary>
                      <m:naryPr>
                        <m:chr m:val="∑"/>
                        <m:limLoc m:val="undOvr"/>
                        <m:ctrlPr>
                          <w:rPr>
                            <w:rFonts w:ascii="Cambria Math" w:hAnsi="Cambria Math"/>
                            <w:i/>
                            <w:sz w:val="16"/>
                            <w:szCs w:val="16"/>
                          </w:rPr>
                        </m:ctrlPr>
                      </m:naryPr>
                      <m:sub>
                        <m:r>
                          <w:rPr>
                            <w:rFonts w:ascii="Cambria Math" w:hAnsi="Cambria Math"/>
                            <w:sz w:val="16"/>
                            <w:szCs w:val="16"/>
                          </w:rPr>
                          <m:t>i=1</m:t>
                        </m:r>
                      </m:sub>
                      <m:sup>
                        <m:sSub>
                          <m:sSubPr>
                            <m:ctrlPr>
                              <w:rPr>
                                <w:rFonts w:ascii="Cambria Math" w:hAnsi="Cambria Math"/>
                                <w:i/>
                                <w:sz w:val="16"/>
                                <w:szCs w:val="16"/>
                              </w:rPr>
                            </m:ctrlPr>
                          </m:sSubPr>
                          <m:e>
                            <m:r>
                              <w:rPr>
                                <w:rFonts w:ascii="Cambria Math" w:hAnsi="Cambria Math"/>
                                <w:sz w:val="16"/>
                                <w:szCs w:val="16"/>
                              </w:rPr>
                              <m:t>nt</m:t>
                            </m:r>
                          </m:e>
                          <m:sub>
                            <m:r>
                              <w:rPr>
                                <w:rFonts w:ascii="Cambria Math" w:hAnsi="Cambria Math"/>
                                <w:sz w:val="16"/>
                                <w:szCs w:val="16"/>
                              </w:rPr>
                              <m:t>lcSMI</m:t>
                            </m:r>
                          </m:sub>
                        </m:sSub>
                      </m:sup>
                      <m:e>
                        <m:sSub>
                          <m:sSubPr>
                            <m:ctrlPr>
                              <w:rPr>
                                <w:rFonts w:ascii="Cambria Math" w:hAnsi="Cambria Math"/>
                                <w:i/>
                                <w:sz w:val="16"/>
                                <w:szCs w:val="16"/>
                              </w:rPr>
                            </m:ctrlPr>
                          </m:sSubPr>
                          <m:e>
                            <m:r>
                              <w:rPr>
                                <w:rFonts w:ascii="Cambria Math" w:hAnsi="Cambria Math"/>
                                <w:sz w:val="16"/>
                                <w:szCs w:val="16"/>
                              </w:rPr>
                              <m:t>Nz</m:t>
                            </m:r>
                          </m:e>
                          <m:sub>
                            <m:r>
                              <w:rPr>
                                <w:rFonts w:ascii="Cambria Math" w:hAnsi="Cambria Math"/>
                                <w:sz w:val="16"/>
                                <w:szCs w:val="16"/>
                              </w:rPr>
                              <m:t>ti</m:t>
                            </m:r>
                          </m:sub>
                        </m:sSub>
                      </m:e>
                    </m:nary>
                  </m:den>
                </m:f>
                <m:r>
                  <w:rPr>
                    <w:rFonts w:ascii="Cambria Math" w:hAnsi="Cambria Math"/>
                    <w:sz w:val="16"/>
                    <w:szCs w:val="16"/>
                  </w:rPr>
                  <m:t>*100 [%]</m:t>
                </m:r>
              </m:oMath>
            </m:oMathPara>
          </w:p>
          <w:p w:rsidR="006B43BF" w:rsidRPr="002C4FB3" w:rsidRDefault="006B43BF" w:rsidP="008A748D">
            <w:pPr>
              <w:jc w:val="center"/>
              <w:rPr>
                <w:sz w:val="16"/>
                <w:szCs w:val="16"/>
              </w:rPr>
            </w:pPr>
          </w:p>
        </w:tc>
        <w:tc>
          <w:tcPr>
            <w:tcW w:w="403" w:type="pct"/>
            <w:vAlign w:val="center"/>
          </w:tcPr>
          <w:p w:rsidR="006B43BF" w:rsidRPr="00B640E4" w:rsidRDefault="006B43BF" w:rsidP="008A748D">
            <w:pPr>
              <w:suppressAutoHyphens/>
              <w:autoSpaceDN w:val="0"/>
              <w:spacing w:before="120" w:after="120" w:line="247" w:lineRule="auto"/>
              <w:textAlignment w:val="baseline"/>
              <w:rPr>
                <w:sz w:val="20"/>
                <w:szCs w:val="20"/>
              </w:rPr>
            </w:pPr>
          </w:p>
        </w:tc>
        <w:tc>
          <w:tcPr>
            <w:tcW w:w="1533" w:type="pct"/>
            <w:shd w:val="clear" w:color="auto" w:fill="auto"/>
            <w:tcMar>
              <w:top w:w="0" w:type="dxa"/>
              <w:left w:w="108" w:type="dxa"/>
              <w:bottom w:w="0" w:type="dxa"/>
              <w:right w:w="108" w:type="dxa"/>
            </w:tcMar>
            <w:vAlign w:val="center"/>
          </w:tcPr>
          <w:p w:rsidR="00591DFD" w:rsidRDefault="00BE141B" w:rsidP="00591DFD">
            <w:pPr>
              <w:suppressAutoHyphens/>
              <w:autoSpaceDN w:val="0"/>
              <w:spacing w:before="120" w:after="120" w:line="247" w:lineRule="auto"/>
              <w:ind w:left="27"/>
              <w:textAlignment w:val="baseline"/>
              <w:rPr>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kindex&gt;0</m:t>
                  </m:r>
                </m:sub>
              </m:sSub>
            </m:oMath>
            <w:r w:rsidR="00591DFD" w:rsidRPr="00591DFD">
              <w:rPr>
                <w:sz w:val="18"/>
                <w:szCs w:val="18"/>
              </w:rPr>
              <w:t xml:space="preserve"> </w:t>
            </w:r>
            <w:r w:rsidR="00FD3622">
              <w:rPr>
                <w:sz w:val="18"/>
                <w:szCs w:val="18"/>
              </w:rPr>
              <w:t>**</w:t>
            </w:r>
            <w:r w:rsidR="00591DFD" w:rsidRPr="00591DFD">
              <w:rPr>
                <w:sz w:val="18"/>
                <w:szCs w:val="18"/>
              </w:rPr>
              <w:t xml:space="preserve">– număr </w:t>
            </w:r>
            <w:r w:rsidR="005127D4">
              <w:rPr>
                <w:sz w:val="18"/>
                <w:szCs w:val="18"/>
              </w:rPr>
              <w:t xml:space="preserve">de locuri de </w:t>
            </w:r>
            <w:r w:rsidR="009137F6">
              <w:rPr>
                <w:sz w:val="18"/>
                <w:szCs w:val="18"/>
              </w:rPr>
              <w:t>consum/de producere</w:t>
            </w:r>
            <w:r w:rsidR="005127D4">
              <w:rPr>
                <w:sz w:val="18"/>
                <w:szCs w:val="18"/>
              </w:rPr>
              <w:t xml:space="preserve"> și consum care au </w:t>
            </w:r>
            <w:r w:rsidR="005127D4" w:rsidRPr="00591DFD">
              <w:rPr>
                <w:sz w:val="18"/>
                <w:szCs w:val="18"/>
              </w:rPr>
              <w:t>transfera</w:t>
            </w:r>
            <w:r w:rsidR="005127D4">
              <w:rPr>
                <w:sz w:val="18"/>
                <w:szCs w:val="18"/>
              </w:rPr>
              <w:t>t</w:t>
            </w:r>
            <w:r w:rsidR="005127D4" w:rsidRPr="00591DFD">
              <w:rPr>
                <w:sz w:val="18"/>
                <w:szCs w:val="18"/>
              </w:rPr>
              <w:t xml:space="preserve"> </w:t>
            </w:r>
            <w:r w:rsidR="001F10A2">
              <w:rPr>
                <w:sz w:val="18"/>
                <w:szCs w:val="18"/>
              </w:rPr>
              <w:t>date de consum</w:t>
            </w:r>
            <w:r w:rsidR="00591DFD" w:rsidRPr="00591DFD">
              <w:rPr>
                <w:sz w:val="18"/>
                <w:szCs w:val="18"/>
              </w:rPr>
              <w:t xml:space="preserve"> din </w:t>
            </w:r>
            <w:r w:rsidR="001F10A2">
              <w:rPr>
                <w:sz w:val="18"/>
                <w:szCs w:val="18"/>
              </w:rPr>
              <w:t>subsistemul de măsurare către HES/MDMS</w:t>
            </w:r>
            <w:r w:rsidR="00591DFD" w:rsidRPr="00591DFD">
              <w:rPr>
                <w:sz w:val="18"/>
                <w:szCs w:val="18"/>
              </w:rPr>
              <w:t xml:space="preserve"> și </w:t>
            </w:r>
            <w:r w:rsidR="005127D4">
              <w:rPr>
                <w:sz w:val="18"/>
                <w:szCs w:val="18"/>
              </w:rPr>
              <w:t xml:space="preserve">s-au </w:t>
            </w:r>
            <w:r w:rsidR="00591DFD" w:rsidRPr="00591DFD">
              <w:rPr>
                <w:sz w:val="18"/>
                <w:szCs w:val="18"/>
              </w:rPr>
              <w:t>înregistra</w:t>
            </w:r>
            <w:r w:rsidR="005127D4">
              <w:rPr>
                <w:sz w:val="18"/>
                <w:szCs w:val="18"/>
              </w:rPr>
              <w:t>t</w:t>
            </w:r>
            <w:r w:rsidR="00591DFD" w:rsidRPr="00591DFD">
              <w:rPr>
                <w:sz w:val="18"/>
                <w:szCs w:val="18"/>
              </w:rPr>
              <w:t xml:space="preserve"> cu marca de timp în baza de date, aferen</w:t>
            </w:r>
            <w:r w:rsidR="005127D4">
              <w:rPr>
                <w:sz w:val="18"/>
                <w:szCs w:val="18"/>
              </w:rPr>
              <w:t>t</w:t>
            </w:r>
            <w:r w:rsidR="00591DFD" w:rsidRPr="00591DFD">
              <w:rPr>
                <w:sz w:val="18"/>
                <w:szCs w:val="18"/>
              </w:rPr>
              <w:t xml:space="preserve"> zilei k din intervalul de timp pentru care se face determinarea indicatorului;</w:t>
            </w:r>
          </w:p>
          <w:p w:rsidR="000A606F" w:rsidRPr="00591DFD" w:rsidRDefault="000A606F" w:rsidP="00591DFD">
            <w:pPr>
              <w:suppressAutoHyphens/>
              <w:autoSpaceDN w:val="0"/>
              <w:spacing w:before="120" w:after="120" w:line="247" w:lineRule="auto"/>
              <w:ind w:left="27"/>
              <w:textAlignment w:val="baseline"/>
              <w:rPr>
                <w:sz w:val="18"/>
                <w:szCs w:val="18"/>
              </w:rPr>
            </w:pPr>
            <m:oMath>
              <m:r>
                <w:rPr>
                  <w:rFonts w:ascii="Cambria Math" w:hAnsi="Cambria Math"/>
                  <w:sz w:val="18"/>
                  <w:szCs w:val="18"/>
                </w:rPr>
                <m:t>m</m:t>
              </m:r>
            </m:oMath>
            <w:r>
              <w:rPr>
                <w:rFonts w:eastAsiaTheme="minorEastAsia"/>
                <w:sz w:val="18"/>
                <w:szCs w:val="18"/>
              </w:rPr>
              <w:t xml:space="preserve"> – numărul de zile din </w:t>
            </w:r>
            <w:r w:rsidRPr="000A606F">
              <w:rPr>
                <w:rFonts w:eastAsiaTheme="minorEastAsia"/>
                <w:sz w:val="18"/>
                <w:szCs w:val="18"/>
              </w:rPr>
              <w:t>intervalul de timp</w:t>
            </w:r>
            <w:r>
              <w:rPr>
                <w:rFonts w:eastAsiaTheme="minorEastAsia"/>
                <w:sz w:val="18"/>
                <w:szCs w:val="18"/>
              </w:rPr>
              <w:t xml:space="preserve"> pentru care se face calculul ratei de succes. Pentru raportarea anuală, m = numărul de zile din an;</w:t>
            </w:r>
          </w:p>
          <w:p w:rsidR="00591DFD" w:rsidRPr="00591DFD" w:rsidRDefault="00BE141B" w:rsidP="00591DFD">
            <w:pPr>
              <w:suppressAutoHyphens/>
              <w:autoSpaceDN w:val="0"/>
              <w:spacing w:before="120" w:after="120" w:line="247" w:lineRule="auto"/>
              <w:ind w:left="27"/>
              <w:textAlignment w:val="baseline"/>
              <w:rPr>
                <w:sz w:val="18"/>
                <w:szCs w:val="18"/>
              </w:rPr>
            </w:pPr>
            <m:oMath>
              <m:sSub>
                <m:sSubPr>
                  <m:ctrlPr>
                    <w:rPr>
                      <w:rFonts w:ascii="Cambria Math" w:hAnsi="Cambria Math"/>
                      <w:i/>
                      <w:sz w:val="18"/>
                      <w:szCs w:val="18"/>
                    </w:rPr>
                  </m:ctrlPr>
                </m:sSubPr>
                <m:e>
                  <m:r>
                    <w:rPr>
                      <w:rFonts w:ascii="Cambria Math" w:hAnsi="Cambria Math"/>
                      <w:sz w:val="18"/>
                      <w:szCs w:val="18"/>
                    </w:rPr>
                    <m:t>Nz</m:t>
                  </m:r>
                </m:e>
                <m:sub>
                  <m:r>
                    <w:rPr>
                      <w:rFonts w:ascii="Cambria Math" w:hAnsi="Cambria Math"/>
                      <w:sz w:val="18"/>
                      <w:szCs w:val="18"/>
                    </w:rPr>
                    <m:t>ti</m:t>
                  </m:r>
                </m:sub>
              </m:sSub>
            </m:oMath>
            <w:r w:rsidR="00591DFD" w:rsidRPr="00591DFD">
              <w:rPr>
                <w:sz w:val="18"/>
                <w:szCs w:val="18"/>
              </w:rPr>
              <w:t xml:space="preserve"> – numărul de zile</w:t>
            </w:r>
            <w:r w:rsidR="00693E5C">
              <w:rPr>
                <w:sz w:val="18"/>
                <w:szCs w:val="18"/>
              </w:rPr>
              <w:t>,</w:t>
            </w:r>
            <w:r w:rsidR="00591DFD" w:rsidRPr="00591DFD">
              <w:rPr>
                <w:sz w:val="18"/>
                <w:szCs w:val="18"/>
              </w:rPr>
              <w:t xml:space="preserve"> din </w:t>
            </w:r>
            <w:r w:rsidR="000A606F" w:rsidRPr="000A606F">
              <w:rPr>
                <w:sz w:val="18"/>
                <w:szCs w:val="18"/>
              </w:rPr>
              <w:t>intervalul de timp</w:t>
            </w:r>
            <w:r w:rsidR="00591DFD" w:rsidRPr="00591DFD">
              <w:rPr>
                <w:sz w:val="18"/>
                <w:szCs w:val="18"/>
              </w:rPr>
              <w:t xml:space="preserve"> pentru care </w:t>
            </w:r>
            <w:r w:rsidR="000A606F">
              <w:rPr>
                <w:sz w:val="18"/>
                <w:szCs w:val="18"/>
              </w:rPr>
              <w:t>se face determinarea</w:t>
            </w:r>
            <w:r w:rsidR="00693E5C">
              <w:rPr>
                <w:sz w:val="18"/>
                <w:szCs w:val="18"/>
              </w:rPr>
              <w:t>,</w:t>
            </w:r>
            <w:r w:rsidR="000A606F">
              <w:rPr>
                <w:sz w:val="18"/>
                <w:szCs w:val="18"/>
              </w:rPr>
              <w:t xml:space="preserve"> pentru care </w:t>
            </w:r>
            <w:r w:rsidR="00F43101">
              <w:rPr>
                <w:sz w:val="18"/>
                <w:szCs w:val="18"/>
              </w:rPr>
              <w:t>subsistemul de măsurare</w:t>
            </w:r>
            <w:r w:rsidR="001F10A2">
              <w:rPr>
                <w:sz w:val="18"/>
                <w:szCs w:val="18"/>
              </w:rPr>
              <w:t xml:space="preserve"> aferent locului de </w:t>
            </w:r>
            <w:r w:rsidR="009137F6">
              <w:rPr>
                <w:sz w:val="18"/>
                <w:szCs w:val="18"/>
              </w:rPr>
              <w:t>consum/de producere</w:t>
            </w:r>
            <w:r w:rsidR="001F10A2">
              <w:rPr>
                <w:sz w:val="18"/>
                <w:szCs w:val="18"/>
              </w:rPr>
              <w:t xml:space="preserve"> și consum trebuia să transmită</w:t>
            </w:r>
            <w:r w:rsidR="00591DFD" w:rsidRPr="00591DFD">
              <w:rPr>
                <w:sz w:val="18"/>
                <w:szCs w:val="18"/>
              </w:rPr>
              <w:t xml:space="preserve"> </w:t>
            </w:r>
            <w:r w:rsidR="001F10A2">
              <w:rPr>
                <w:sz w:val="18"/>
                <w:szCs w:val="18"/>
              </w:rPr>
              <w:t>date de consum către HES/MDMS</w:t>
            </w:r>
            <w:r w:rsidR="00693E5C">
              <w:rPr>
                <w:sz w:val="18"/>
                <w:szCs w:val="18"/>
              </w:rPr>
              <w:t>, aferent tuturor contoarelor din locurile de consum/de producere și consum integrate în SMI până la sfârșitul anului de raportare</w:t>
            </w:r>
            <w:r w:rsidR="000A606F">
              <w:rPr>
                <w:sz w:val="18"/>
                <w:szCs w:val="18"/>
              </w:rPr>
              <w:t xml:space="preserve">. Termenul de calcul se determină ca </w:t>
            </w:r>
            <w:r w:rsidR="00693E5C">
              <w:rPr>
                <w:sz w:val="18"/>
                <w:szCs w:val="18"/>
              </w:rPr>
              <w:t xml:space="preserve">sumă a </w:t>
            </w:r>
            <w:r w:rsidR="000A606F">
              <w:rPr>
                <w:sz w:val="18"/>
                <w:szCs w:val="18"/>
              </w:rPr>
              <w:t>diferenț</w:t>
            </w:r>
            <w:r w:rsidR="00693E5C">
              <w:rPr>
                <w:sz w:val="18"/>
                <w:szCs w:val="18"/>
              </w:rPr>
              <w:t>ei</w:t>
            </w:r>
            <w:r w:rsidR="000A606F">
              <w:rPr>
                <w:sz w:val="18"/>
                <w:szCs w:val="18"/>
              </w:rPr>
              <w:t xml:space="preserve"> </w:t>
            </w:r>
            <w:r w:rsidR="00693E5C">
              <w:rPr>
                <w:sz w:val="18"/>
                <w:szCs w:val="18"/>
              </w:rPr>
              <w:t>di</w:t>
            </w:r>
            <w:r w:rsidR="000A606F">
              <w:rPr>
                <w:sz w:val="18"/>
                <w:szCs w:val="18"/>
              </w:rPr>
              <w:t>ntre data aferentă ultimei zi</w:t>
            </w:r>
            <w:r w:rsidR="00693E5C">
              <w:rPr>
                <w:sz w:val="18"/>
                <w:szCs w:val="18"/>
              </w:rPr>
              <w:t>le</w:t>
            </w:r>
            <w:r w:rsidR="000A606F">
              <w:rPr>
                <w:sz w:val="18"/>
                <w:szCs w:val="18"/>
              </w:rPr>
              <w:t xml:space="preserve"> a intervalului pentru care se face determinarea (pentru raportarea anuală, 31.12. anul de raportare) și data aferentă primului index înregistrat</w:t>
            </w:r>
            <w:r w:rsidR="000F51D0">
              <w:rPr>
                <w:sz w:val="18"/>
                <w:szCs w:val="18"/>
              </w:rPr>
              <w:t xml:space="preserve"> pentru locul de consum/de producere și consum în intervalului de timp pentru care se face determinarea (în cazul raportării anuale, pentru locurile de consum/de producere și consum integrate în anii precedenți, primul index din an poate fi înregistrat în data de 01.01.anul de raportare, iar pentru un loc de consum/de producere și consum integrat în timpul anului de raportare, primul index transmis va fi într-o zi din luna din anul de </w:t>
            </w:r>
            <w:r w:rsidR="000F51D0">
              <w:rPr>
                <w:sz w:val="18"/>
                <w:szCs w:val="18"/>
              </w:rPr>
              <w:lastRenderedPageBreak/>
              <w:t>raportare în care acesta a fost integrat in SMI)</w:t>
            </w:r>
            <w:r w:rsidR="00693E5C">
              <w:rPr>
                <w:sz w:val="18"/>
                <w:szCs w:val="18"/>
              </w:rPr>
              <w:t xml:space="preserve"> efectuată pentru toate locurile de consum/de producere și consum integrate în SMI</w:t>
            </w:r>
            <w:r w:rsidR="00591DFD" w:rsidRPr="00591DFD">
              <w:rPr>
                <w:sz w:val="18"/>
                <w:szCs w:val="18"/>
              </w:rPr>
              <w:t>;</w:t>
            </w:r>
          </w:p>
          <w:p w:rsidR="002C4FB3" w:rsidRDefault="00BE141B" w:rsidP="00591DFD">
            <w:pPr>
              <w:suppressAutoHyphens/>
              <w:autoSpaceDN w:val="0"/>
              <w:spacing w:before="120" w:after="120" w:line="247" w:lineRule="auto"/>
              <w:ind w:left="27"/>
              <w:textAlignment w:val="baseline"/>
              <w:rPr>
                <w:sz w:val="18"/>
                <w:szCs w:val="18"/>
              </w:rPr>
            </w:pPr>
            <m:oMath>
              <m:sSub>
                <m:sSubPr>
                  <m:ctrlPr>
                    <w:rPr>
                      <w:rFonts w:ascii="Cambria Math" w:hAnsi="Cambria Math"/>
                      <w:i/>
                      <w:sz w:val="18"/>
                      <w:szCs w:val="18"/>
                    </w:rPr>
                  </m:ctrlPr>
                </m:sSubPr>
                <m:e>
                  <m:r>
                    <w:rPr>
                      <w:rFonts w:ascii="Cambria Math" w:hAnsi="Cambria Math"/>
                      <w:sz w:val="18"/>
                      <w:szCs w:val="18"/>
                    </w:rPr>
                    <m:t>nt</m:t>
                  </m:r>
                </m:e>
                <m:sub>
                  <m:r>
                    <w:rPr>
                      <w:rFonts w:ascii="Cambria Math" w:hAnsi="Cambria Math"/>
                      <w:sz w:val="18"/>
                      <w:szCs w:val="18"/>
                    </w:rPr>
                    <m:t>lcSMI</m:t>
                  </m:r>
                </m:sub>
              </m:sSub>
              <m:r>
                <w:rPr>
                  <w:rFonts w:ascii="Cambria Math" w:hAnsi="Cambria Math"/>
                  <w:sz w:val="18"/>
                  <w:szCs w:val="18"/>
                </w:rPr>
                <m:t xml:space="preserve"> </m:t>
              </m:r>
            </m:oMath>
            <w:r w:rsidR="00591DFD" w:rsidRPr="00591DFD">
              <w:rPr>
                <w:sz w:val="18"/>
                <w:szCs w:val="18"/>
              </w:rPr>
              <w:t xml:space="preserve">– număr total de </w:t>
            </w:r>
            <w:r w:rsidR="005127D4">
              <w:rPr>
                <w:sz w:val="18"/>
                <w:szCs w:val="18"/>
              </w:rPr>
              <w:t xml:space="preserve">locuri de </w:t>
            </w:r>
            <w:r w:rsidR="009137F6">
              <w:rPr>
                <w:sz w:val="18"/>
                <w:szCs w:val="18"/>
              </w:rPr>
              <w:t>consum/de producere</w:t>
            </w:r>
            <w:r w:rsidR="005127D4">
              <w:rPr>
                <w:sz w:val="18"/>
                <w:szCs w:val="18"/>
              </w:rPr>
              <w:t xml:space="preserve"> și consum</w:t>
            </w:r>
            <w:r w:rsidR="00591DFD" w:rsidRPr="00591DFD">
              <w:rPr>
                <w:sz w:val="18"/>
                <w:szCs w:val="18"/>
              </w:rPr>
              <w:t xml:space="preserve"> integrate în SMI până la sfârșitul perioadei de raportare</w:t>
            </w:r>
            <w:r w:rsidR="001F10A2">
              <w:rPr>
                <w:sz w:val="18"/>
                <w:szCs w:val="18"/>
              </w:rPr>
              <w:t xml:space="preserve"> (inclusiv cele integrate în SMI în perioada proiectelor pilot)</w:t>
            </w:r>
          </w:p>
          <w:p w:rsidR="00FD3622" w:rsidRPr="00591DFD" w:rsidRDefault="00FD3622" w:rsidP="00591DFD">
            <w:pPr>
              <w:suppressAutoHyphens/>
              <w:autoSpaceDN w:val="0"/>
              <w:spacing w:before="120" w:after="120" w:line="247" w:lineRule="auto"/>
              <w:ind w:left="27"/>
              <w:textAlignment w:val="baseline"/>
              <w:rPr>
                <w:sz w:val="18"/>
                <w:szCs w:val="18"/>
              </w:rPr>
            </w:pPr>
            <w:r w:rsidRPr="00FD3622">
              <w:rPr>
                <w:b/>
                <w:sz w:val="18"/>
                <w:szCs w:val="18"/>
              </w:rPr>
              <w:t>Notă</w:t>
            </w:r>
            <w:r>
              <w:rPr>
                <w:sz w:val="18"/>
                <w:szCs w:val="18"/>
              </w:rPr>
              <w:t xml:space="preserve">: ** - </w:t>
            </w:r>
            <w:r w:rsidRPr="00FD3622">
              <w:rPr>
                <w:i/>
                <w:sz w:val="18"/>
                <w:szCs w:val="18"/>
              </w:rPr>
              <w:t>elementul de calcul, în tabela cu situația anuală a locurilor de consum pentru perioada de raportare, va avea doar valoarea 1 sau 0 pentru un ID de contor (valoare 1 dacă într-o zi din interval s-a înregistrat cel puțin un index și 0 dacă într-o zi nu s-a înregistrat nici un index în HES/MDMS)</w:t>
            </w:r>
          </w:p>
        </w:tc>
        <w:tc>
          <w:tcPr>
            <w:tcW w:w="740" w:type="pct"/>
            <w:shd w:val="clear" w:color="auto" w:fill="auto"/>
            <w:tcMar>
              <w:top w:w="0" w:type="dxa"/>
              <w:left w:w="108" w:type="dxa"/>
              <w:bottom w:w="0" w:type="dxa"/>
              <w:right w:w="108" w:type="dxa"/>
            </w:tcMar>
            <w:vAlign w:val="center"/>
          </w:tcPr>
          <w:p w:rsidR="000F51D0" w:rsidRPr="006D02E3" w:rsidRDefault="007549AC" w:rsidP="000F51D0">
            <w:pPr>
              <w:rPr>
                <w:sz w:val="16"/>
                <w:szCs w:val="16"/>
              </w:rPr>
            </w:pPr>
            <w:r w:rsidRPr="006D02E3">
              <w:rPr>
                <w:sz w:val="16"/>
                <w:szCs w:val="16"/>
              </w:rPr>
              <w:lastRenderedPageBreak/>
              <w:t>Raportarea se transmite anual.</w:t>
            </w:r>
          </w:p>
          <w:p w:rsidR="00A06272" w:rsidRPr="006D02E3" w:rsidRDefault="00A06272" w:rsidP="007549AC">
            <w:pPr>
              <w:rPr>
                <w:sz w:val="16"/>
                <w:szCs w:val="16"/>
              </w:rPr>
            </w:pPr>
          </w:p>
        </w:tc>
      </w:tr>
      <w:bookmarkEnd w:id="4"/>
      <w:tr w:rsidR="009F0AF1" w:rsidRPr="00B640E4" w:rsidTr="006D02E3">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775E00" w:rsidRPr="00B640E4" w:rsidRDefault="00775E00" w:rsidP="00775E00">
            <w:pPr>
              <w:rPr>
                <w:sz w:val="20"/>
                <w:szCs w:val="20"/>
              </w:rPr>
            </w:pPr>
            <w:r w:rsidRPr="00B640E4">
              <w:rPr>
                <w:sz w:val="20"/>
                <w:szCs w:val="20"/>
              </w:rPr>
              <w:t xml:space="preserve">Numărul de semnalizări privind depășiri ale valorii puterii aprobate prin avizul tehnic de racordare înregistrate la </w:t>
            </w:r>
            <w:r w:rsidR="00103BE1">
              <w:rPr>
                <w:sz w:val="18"/>
                <w:szCs w:val="18"/>
              </w:rPr>
              <w:t>locuri de consum/ producere și consum</w:t>
            </w:r>
            <w:r w:rsidRPr="00B640E4">
              <w:rPr>
                <w:sz w:val="20"/>
                <w:szCs w:val="20"/>
              </w:rPr>
              <w:t xml:space="preserve"> integra</w:t>
            </w:r>
            <w:r w:rsidR="00103BE1">
              <w:rPr>
                <w:sz w:val="20"/>
                <w:szCs w:val="20"/>
              </w:rPr>
              <w:t>te</w:t>
            </w:r>
            <w:r w:rsidRPr="00B640E4">
              <w:rPr>
                <w:sz w:val="20"/>
                <w:szCs w:val="20"/>
              </w:rPr>
              <w:t xml:space="preserve"> în SMI </w:t>
            </w:r>
          </w:p>
        </w:tc>
        <w:tc>
          <w:tcPr>
            <w:tcW w:w="960" w:type="pct"/>
            <w:shd w:val="clear" w:color="auto" w:fill="auto"/>
            <w:tcMar>
              <w:top w:w="0" w:type="dxa"/>
              <w:left w:w="108" w:type="dxa"/>
              <w:bottom w:w="0" w:type="dxa"/>
              <w:right w:w="108" w:type="dxa"/>
            </w:tcMar>
            <w:vAlign w:val="center"/>
          </w:tcPr>
          <w:p w:rsidR="00775E00" w:rsidRPr="00B640E4" w:rsidRDefault="00BE141B" w:rsidP="00775E00">
            <w:pPr>
              <w:jc w:val="center"/>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s</m:t>
                    </m:r>
                    <m:sSub>
                      <m:sSubPr>
                        <m:ctrlPr>
                          <w:rPr>
                            <w:rFonts w:ascii="Cambria Math" w:hAnsi="Cambria Math"/>
                          </w:rPr>
                        </m:ctrlPr>
                      </m:sSubPr>
                      <m:e>
                        <m:r>
                          <w:rPr>
                            <w:rFonts w:ascii="Cambria Math" w:hAnsi="Cambria Math"/>
                          </w:rPr>
                          <m:t>dep</m:t>
                        </m:r>
                      </m:e>
                      <m:sub>
                        <m:r>
                          <w:rPr>
                            <w:rFonts w:ascii="Cambria Math" w:hAnsi="Cambria Math"/>
                          </w:rPr>
                          <m:t>Pn</m:t>
                        </m:r>
                      </m:sub>
                    </m:sSub>
                  </m:sub>
                </m:sSub>
              </m:oMath>
            </m:oMathPara>
          </w:p>
        </w:tc>
        <w:tc>
          <w:tcPr>
            <w:tcW w:w="403" w:type="pct"/>
          </w:tcPr>
          <w:p w:rsidR="00775E00" w:rsidRDefault="00775E00" w:rsidP="00775E00">
            <w:pPr>
              <w:numPr>
                <w:ilvl w:val="0"/>
                <w:numId w:val="23"/>
              </w:numPr>
              <w:suppressAutoHyphens/>
              <w:autoSpaceDN w:val="0"/>
              <w:spacing w:before="120" w:after="120" w:line="247" w:lineRule="auto"/>
              <w:ind w:left="0" w:hanging="221"/>
              <w:textAlignment w:val="baseline"/>
              <w:rPr>
                <w:rFonts w:eastAsia="Times New Roman"/>
                <w:sz w:val="20"/>
                <w:szCs w:val="20"/>
              </w:rPr>
            </w:pPr>
          </w:p>
        </w:tc>
        <w:tc>
          <w:tcPr>
            <w:tcW w:w="1533" w:type="pct"/>
            <w:shd w:val="clear" w:color="auto" w:fill="auto"/>
            <w:tcMar>
              <w:top w:w="0" w:type="dxa"/>
              <w:left w:w="108" w:type="dxa"/>
              <w:bottom w:w="0" w:type="dxa"/>
              <w:right w:w="108" w:type="dxa"/>
            </w:tcMar>
            <w:vAlign w:val="center"/>
          </w:tcPr>
          <w:p w:rsidR="00775E00" w:rsidRPr="00B640E4" w:rsidRDefault="00BE141B" w:rsidP="00775E00">
            <w:pPr>
              <w:numPr>
                <w:ilvl w:val="0"/>
                <w:numId w:val="23"/>
              </w:numPr>
              <w:suppressAutoHyphens/>
              <w:autoSpaceDN w:val="0"/>
              <w:spacing w:before="120" w:after="120"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m:t>
                  </m:r>
                  <m:sSub>
                    <m:sSubPr>
                      <m:ctrlPr>
                        <w:rPr>
                          <w:rFonts w:ascii="Cambria Math" w:hAnsi="Cambria Math"/>
                          <w:sz w:val="20"/>
                          <w:szCs w:val="20"/>
                        </w:rPr>
                      </m:ctrlPr>
                    </m:sSubPr>
                    <m:e>
                      <m:r>
                        <w:rPr>
                          <w:rFonts w:ascii="Cambria Math" w:hAnsi="Cambria Math"/>
                          <w:sz w:val="20"/>
                          <w:szCs w:val="20"/>
                        </w:rPr>
                        <m:t>dep</m:t>
                      </m:r>
                    </m:e>
                    <m:sub>
                      <m:r>
                        <w:rPr>
                          <w:rFonts w:ascii="Cambria Math" w:hAnsi="Cambria Math"/>
                          <w:sz w:val="20"/>
                          <w:szCs w:val="20"/>
                        </w:rPr>
                        <m:t>Pn</m:t>
                      </m:r>
                    </m:sub>
                  </m:sSub>
                </m:sub>
              </m:sSub>
            </m:oMath>
            <w:r w:rsidR="00775E00" w:rsidRPr="00B640E4">
              <w:rPr>
                <w:sz w:val="20"/>
                <w:szCs w:val="20"/>
              </w:rPr>
              <w:t xml:space="preserve"> – </w:t>
            </w:r>
            <w:r w:rsidR="00775E00" w:rsidRPr="00AF42DA">
              <w:rPr>
                <w:sz w:val="18"/>
                <w:szCs w:val="18"/>
              </w:rPr>
              <w:t xml:space="preserve">numărul de semnalizări </w:t>
            </w:r>
            <w:r w:rsidR="003D1C54">
              <w:rPr>
                <w:sz w:val="18"/>
                <w:szCs w:val="18"/>
              </w:rPr>
              <w:t>privind</w:t>
            </w:r>
            <w:r w:rsidR="00775E00" w:rsidRPr="00AF42DA">
              <w:rPr>
                <w:sz w:val="18"/>
                <w:szCs w:val="18"/>
              </w:rPr>
              <w:t xml:space="preserve"> depășir</w:t>
            </w:r>
            <w:r w:rsidR="003D1C54">
              <w:rPr>
                <w:sz w:val="18"/>
                <w:szCs w:val="18"/>
              </w:rPr>
              <w:t>e</w:t>
            </w:r>
            <w:r w:rsidR="00775E00" w:rsidRPr="00AF42DA">
              <w:rPr>
                <w:sz w:val="18"/>
                <w:szCs w:val="18"/>
              </w:rPr>
              <w:t xml:space="preserve">a valorii puterii aprobate </w:t>
            </w:r>
            <w:r w:rsidR="003D1C54">
              <w:rPr>
                <w:sz w:val="18"/>
                <w:szCs w:val="18"/>
              </w:rPr>
              <w:t>prin</w:t>
            </w:r>
            <w:r w:rsidR="00775E00" w:rsidRPr="00AF42DA">
              <w:rPr>
                <w:sz w:val="18"/>
                <w:szCs w:val="18"/>
              </w:rPr>
              <w:t xml:space="preserve"> avizul tehnic de racordare, Pn, înregistrate </w:t>
            </w:r>
            <w:r w:rsidR="003D1C54" w:rsidRPr="00AF42DA">
              <w:rPr>
                <w:sz w:val="18"/>
                <w:szCs w:val="18"/>
              </w:rPr>
              <w:t xml:space="preserve">în anul de raportare </w:t>
            </w:r>
            <w:r w:rsidR="00775E00" w:rsidRPr="00AF42DA">
              <w:rPr>
                <w:sz w:val="18"/>
                <w:szCs w:val="18"/>
              </w:rPr>
              <w:t xml:space="preserve">la </w:t>
            </w:r>
            <w:r w:rsidR="00103BE1" w:rsidRPr="00AF42DA">
              <w:rPr>
                <w:sz w:val="18"/>
                <w:szCs w:val="18"/>
              </w:rPr>
              <w:t xml:space="preserve">locuri de </w:t>
            </w:r>
            <w:r w:rsidR="009137F6">
              <w:rPr>
                <w:sz w:val="18"/>
                <w:szCs w:val="18"/>
              </w:rPr>
              <w:t>consum/de producere</w:t>
            </w:r>
            <w:r w:rsidR="00103BE1" w:rsidRPr="00AF42DA">
              <w:rPr>
                <w:sz w:val="18"/>
                <w:szCs w:val="18"/>
              </w:rPr>
              <w:t xml:space="preserve"> și consum</w:t>
            </w:r>
            <w:r w:rsidR="00775E00" w:rsidRPr="00AF42DA">
              <w:rPr>
                <w:sz w:val="18"/>
                <w:szCs w:val="18"/>
              </w:rPr>
              <w:t xml:space="preserve"> integra</w:t>
            </w:r>
            <w:r w:rsidR="00103BE1" w:rsidRPr="00AF42DA">
              <w:rPr>
                <w:sz w:val="18"/>
                <w:szCs w:val="18"/>
              </w:rPr>
              <w:t>te</w:t>
            </w:r>
            <w:r w:rsidR="00775E00" w:rsidRPr="00AF42DA">
              <w:rPr>
                <w:sz w:val="18"/>
                <w:szCs w:val="18"/>
              </w:rPr>
              <w:t xml:space="preserve"> în SMI </w:t>
            </w:r>
            <w:r w:rsidR="003D1C54">
              <w:rPr>
                <w:sz w:val="18"/>
                <w:szCs w:val="18"/>
              </w:rPr>
              <w:t>până la sfârșitul perioadei de raportare</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r w:rsidR="009F0AF1" w:rsidRPr="006D02E3">
              <w:rPr>
                <w:sz w:val="16"/>
                <w:szCs w:val="16"/>
              </w:rPr>
              <w:t>.</w:t>
            </w:r>
          </w:p>
        </w:tc>
      </w:tr>
      <w:tr w:rsidR="009F0AF1" w:rsidRPr="00B640E4" w:rsidTr="006D02E3">
        <w:trPr>
          <w:trHeight w:val="653"/>
        </w:trPr>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775E00" w:rsidRPr="00B640E4" w:rsidRDefault="00775E00" w:rsidP="00775E00">
            <w:pPr>
              <w:rPr>
                <w:sz w:val="20"/>
                <w:szCs w:val="20"/>
              </w:rPr>
            </w:pPr>
            <w:r w:rsidRPr="00B640E4">
              <w:rPr>
                <w:sz w:val="20"/>
                <w:szCs w:val="20"/>
              </w:rPr>
              <w:t xml:space="preserve">Numărul total de </w:t>
            </w:r>
            <w:r w:rsidR="00103BE1">
              <w:rPr>
                <w:sz w:val="18"/>
                <w:szCs w:val="18"/>
              </w:rPr>
              <w:t>locuri de consum/ producere și consum</w:t>
            </w:r>
            <w:r w:rsidRPr="00B640E4">
              <w:rPr>
                <w:sz w:val="20"/>
                <w:szCs w:val="20"/>
              </w:rPr>
              <w:t xml:space="preserve"> integra</w:t>
            </w:r>
            <w:r w:rsidR="00103BE1">
              <w:rPr>
                <w:sz w:val="20"/>
                <w:szCs w:val="20"/>
              </w:rPr>
              <w:t>te</w:t>
            </w:r>
            <w:r w:rsidRPr="00B640E4">
              <w:rPr>
                <w:sz w:val="20"/>
                <w:szCs w:val="20"/>
              </w:rPr>
              <w:t xml:space="preserve"> în SMI care au suferit o întrerupere lungă în anul de raportare</w:t>
            </w:r>
          </w:p>
        </w:tc>
        <w:tc>
          <w:tcPr>
            <w:tcW w:w="960" w:type="pct"/>
            <w:shd w:val="clear" w:color="auto" w:fill="auto"/>
            <w:tcMar>
              <w:top w:w="0" w:type="dxa"/>
              <w:left w:w="108" w:type="dxa"/>
              <w:bottom w:w="0" w:type="dxa"/>
              <w:right w:w="108" w:type="dxa"/>
            </w:tcMar>
            <w:vAlign w:val="center"/>
          </w:tcPr>
          <w:p w:rsidR="00775E00" w:rsidRPr="00B640E4" w:rsidRDefault="00BE141B" w:rsidP="00775E00">
            <w:pPr>
              <w:jc w:val="center"/>
            </w:pPr>
            <m:oMathPara>
              <m:oMath>
                <m:sSub>
                  <m:sSubPr>
                    <m:ctrlPr>
                      <w:rPr>
                        <w:rFonts w:ascii="Cambria Math" w:hAnsi="Cambria Math"/>
                      </w:rPr>
                    </m:ctrlPr>
                  </m:sSubPr>
                  <m:e>
                    <m:r>
                      <w:rPr>
                        <w:rFonts w:ascii="Cambria Math" w:hAnsi="Cambria Math"/>
                      </w:rPr>
                      <m:t>n</m:t>
                    </m:r>
                  </m:e>
                  <m:sub>
                    <m:r>
                      <w:rPr>
                        <w:rFonts w:ascii="Cambria Math" w:hAnsi="Cambria Math"/>
                      </w:rPr>
                      <m:t>LCilSMI</m:t>
                    </m:r>
                  </m:sub>
                </m:sSub>
              </m:oMath>
            </m:oMathPara>
          </w:p>
        </w:tc>
        <w:tc>
          <w:tcPr>
            <w:tcW w:w="403" w:type="pct"/>
          </w:tcPr>
          <w:p w:rsidR="00775E00" w:rsidRDefault="00775E00" w:rsidP="00775E00">
            <w:pPr>
              <w:numPr>
                <w:ilvl w:val="0"/>
                <w:numId w:val="23"/>
              </w:numPr>
              <w:suppressAutoHyphens/>
              <w:autoSpaceDN w:val="0"/>
              <w:spacing w:before="120" w:after="120" w:line="247" w:lineRule="auto"/>
              <w:ind w:left="0" w:hanging="221"/>
              <w:textAlignment w:val="baseline"/>
              <w:rPr>
                <w:rFonts w:eastAsia="Times New Roman"/>
                <w:sz w:val="20"/>
                <w:szCs w:val="20"/>
              </w:rPr>
            </w:pPr>
          </w:p>
        </w:tc>
        <w:tc>
          <w:tcPr>
            <w:tcW w:w="1533" w:type="pct"/>
            <w:shd w:val="clear" w:color="auto" w:fill="auto"/>
            <w:tcMar>
              <w:top w:w="0" w:type="dxa"/>
              <w:left w:w="108" w:type="dxa"/>
              <w:bottom w:w="0" w:type="dxa"/>
              <w:right w:w="108" w:type="dxa"/>
            </w:tcMar>
            <w:vAlign w:val="center"/>
          </w:tcPr>
          <w:p w:rsidR="00775E00" w:rsidRPr="00B640E4" w:rsidRDefault="00BE141B" w:rsidP="00775E00">
            <w:pPr>
              <w:numPr>
                <w:ilvl w:val="0"/>
                <w:numId w:val="23"/>
              </w:numPr>
              <w:suppressAutoHyphens/>
              <w:autoSpaceDN w:val="0"/>
              <w:spacing w:before="120" w:after="120"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LCilSMI</m:t>
                  </m:r>
                </m:sub>
              </m:sSub>
            </m:oMath>
            <w:r w:rsidR="00775E00" w:rsidRPr="00B640E4">
              <w:rPr>
                <w:sz w:val="20"/>
                <w:szCs w:val="20"/>
              </w:rPr>
              <w:t xml:space="preserve"> - </w:t>
            </w:r>
            <w:r w:rsidR="00775E00" w:rsidRPr="00AF42DA">
              <w:rPr>
                <w:sz w:val="18"/>
                <w:szCs w:val="18"/>
              </w:rPr>
              <w:t xml:space="preserve">numărul total de </w:t>
            </w:r>
            <w:r w:rsidR="00103BE1" w:rsidRPr="00AF42DA">
              <w:rPr>
                <w:sz w:val="18"/>
                <w:szCs w:val="18"/>
              </w:rPr>
              <w:t xml:space="preserve">locuri de </w:t>
            </w:r>
            <w:r w:rsidR="009137F6">
              <w:rPr>
                <w:sz w:val="18"/>
                <w:szCs w:val="18"/>
              </w:rPr>
              <w:t>consum/de producere</w:t>
            </w:r>
            <w:r w:rsidR="00103BE1" w:rsidRPr="00AF42DA">
              <w:rPr>
                <w:sz w:val="18"/>
                <w:szCs w:val="18"/>
              </w:rPr>
              <w:t xml:space="preserve"> și consum</w:t>
            </w:r>
            <w:r w:rsidR="00775E00" w:rsidRPr="00AF42DA">
              <w:rPr>
                <w:sz w:val="18"/>
                <w:szCs w:val="18"/>
              </w:rPr>
              <w:t xml:space="preserve"> integra</w:t>
            </w:r>
            <w:r w:rsidR="00103BE1" w:rsidRPr="00AF42DA">
              <w:rPr>
                <w:sz w:val="18"/>
                <w:szCs w:val="18"/>
              </w:rPr>
              <w:t>te</w:t>
            </w:r>
            <w:r w:rsidR="00775E00" w:rsidRPr="00AF42DA">
              <w:rPr>
                <w:sz w:val="18"/>
                <w:szCs w:val="18"/>
              </w:rPr>
              <w:t xml:space="preserve"> în SMI </w:t>
            </w:r>
            <w:r w:rsidR="003D1C54">
              <w:rPr>
                <w:sz w:val="18"/>
                <w:szCs w:val="18"/>
              </w:rPr>
              <w:t xml:space="preserve">până la sfârșitul perioadei de raportare, </w:t>
            </w:r>
            <w:r w:rsidR="00775E00" w:rsidRPr="00AF42DA">
              <w:rPr>
                <w:sz w:val="18"/>
                <w:szCs w:val="18"/>
              </w:rPr>
              <w:t>care au suferit</w:t>
            </w:r>
            <w:r w:rsidR="003D1C54">
              <w:rPr>
                <w:sz w:val="18"/>
                <w:szCs w:val="18"/>
              </w:rPr>
              <w:t>,</w:t>
            </w:r>
            <w:r w:rsidR="00775E00" w:rsidRPr="00AF42DA">
              <w:rPr>
                <w:sz w:val="18"/>
                <w:szCs w:val="18"/>
              </w:rPr>
              <w:t xml:space="preserve"> </w:t>
            </w:r>
            <w:r w:rsidR="003D1C54" w:rsidRPr="00AF42DA">
              <w:rPr>
                <w:sz w:val="18"/>
                <w:szCs w:val="18"/>
              </w:rPr>
              <w:t>în anul de raportare</w:t>
            </w:r>
            <w:r w:rsidR="003D1C54">
              <w:rPr>
                <w:sz w:val="18"/>
                <w:szCs w:val="18"/>
              </w:rPr>
              <w:t>,</w:t>
            </w:r>
            <w:r w:rsidR="003D1C54" w:rsidRPr="00B640E4">
              <w:rPr>
                <w:sz w:val="20"/>
                <w:szCs w:val="20"/>
              </w:rPr>
              <w:t xml:space="preserve"> </w:t>
            </w:r>
            <w:r w:rsidR="00775E00" w:rsidRPr="00AF42DA">
              <w:rPr>
                <w:sz w:val="18"/>
                <w:szCs w:val="18"/>
              </w:rPr>
              <w:t xml:space="preserve">o întrerupere lungă, conform definiției din </w:t>
            </w:r>
            <w:r w:rsidR="00C13C87" w:rsidRPr="00C13C87">
              <w:rPr>
                <w:sz w:val="18"/>
                <w:szCs w:val="18"/>
              </w:rPr>
              <w:t>Standardul de performanţă pentru serviciul de distribuţie a energiei electrice</w:t>
            </w:r>
            <w:r w:rsidR="00775E00" w:rsidRPr="00AF42DA">
              <w:rPr>
                <w:sz w:val="18"/>
                <w:szCs w:val="18"/>
              </w:rPr>
              <w:t xml:space="preserve"> în vigoare</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p>
        </w:tc>
      </w:tr>
      <w:tr w:rsidR="00F21189" w:rsidRPr="00B640E4" w:rsidTr="006D02E3">
        <w:trPr>
          <w:trHeight w:val="1362"/>
        </w:trPr>
        <w:tc>
          <w:tcPr>
            <w:tcW w:w="253" w:type="pct"/>
            <w:shd w:val="clear" w:color="auto" w:fill="auto"/>
            <w:tcMar>
              <w:top w:w="0" w:type="dxa"/>
              <w:left w:w="108" w:type="dxa"/>
              <w:bottom w:w="0" w:type="dxa"/>
              <w:right w:w="108" w:type="dxa"/>
            </w:tcMar>
            <w:vAlign w:val="center"/>
          </w:tcPr>
          <w:p w:rsidR="00F21189" w:rsidRPr="00B640E4" w:rsidRDefault="00F21189"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F21189" w:rsidRPr="001D32C6" w:rsidRDefault="00F21189" w:rsidP="00775E00">
            <w:pPr>
              <w:rPr>
                <w:sz w:val="18"/>
                <w:szCs w:val="20"/>
              </w:rPr>
            </w:pPr>
            <w:r w:rsidRPr="00B640E4">
              <w:rPr>
                <w:sz w:val="20"/>
                <w:szCs w:val="20"/>
              </w:rPr>
              <w:t xml:space="preserve">Durata cumulată a întreruperilor lungi înregistrate la </w:t>
            </w:r>
            <w:r>
              <w:rPr>
                <w:sz w:val="20"/>
                <w:szCs w:val="20"/>
              </w:rPr>
              <w:t xml:space="preserve">locurile de </w:t>
            </w:r>
            <w:r w:rsidR="009137F6">
              <w:rPr>
                <w:sz w:val="20"/>
                <w:szCs w:val="20"/>
              </w:rPr>
              <w:t>consum/de producere</w:t>
            </w:r>
            <w:r>
              <w:rPr>
                <w:sz w:val="20"/>
                <w:szCs w:val="20"/>
              </w:rPr>
              <w:t xml:space="preserve"> și consum</w:t>
            </w:r>
            <w:r w:rsidRPr="00B640E4">
              <w:rPr>
                <w:sz w:val="20"/>
                <w:szCs w:val="20"/>
              </w:rPr>
              <w:t xml:space="preserve"> integra</w:t>
            </w:r>
            <w:r>
              <w:rPr>
                <w:sz w:val="20"/>
                <w:szCs w:val="20"/>
              </w:rPr>
              <w:t>te</w:t>
            </w:r>
            <w:r w:rsidRPr="00B640E4">
              <w:rPr>
                <w:sz w:val="20"/>
                <w:szCs w:val="20"/>
              </w:rPr>
              <w:t xml:space="preserve"> în SMI </w:t>
            </w:r>
            <w:r>
              <w:rPr>
                <w:sz w:val="20"/>
                <w:szCs w:val="20"/>
              </w:rPr>
              <w:t xml:space="preserve"> din care:</w:t>
            </w:r>
          </w:p>
        </w:tc>
        <w:tc>
          <w:tcPr>
            <w:tcW w:w="960" w:type="pct"/>
            <w:shd w:val="clear" w:color="auto" w:fill="auto"/>
            <w:tcMar>
              <w:top w:w="0" w:type="dxa"/>
              <w:left w:w="108" w:type="dxa"/>
              <w:bottom w:w="0" w:type="dxa"/>
              <w:right w:w="108" w:type="dxa"/>
            </w:tcMar>
            <w:vAlign w:val="center"/>
          </w:tcPr>
          <w:p w:rsidR="00F21189" w:rsidRPr="00B640E4" w:rsidRDefault="00BE141B" w:rsidP="00775E00">
            <w:pPr>
              <w:jc w:val="center"/>
            </w:pPr>
            <m:oMath>
              <m:sSub>
                <m:sSubPr>
                  <m:ctrlPr>
                    <w:rPr>
                      <w:rFonts w:ascii="Cambria Math" w:hAnsi="Cambria Math"/>
                      <w:sz w:val="16"/>
                      <w:szCs w:val="16"/>
                    </w:rPr>
                  </m:ctrlPr>
                </m:sSubPr>
                <m:e>
                  <m:r>
                    <w:rPr>
                      <w:rFonts w:ascii="Cambria Math" w:hAnsi="Cambria Math"/>
                      <w:sz w:val="16"/>
                      <w:szCs w:val="16"/>
                    </w:rPr>
                    <m:t>D</m:t>
                  </m:r>
                </m:e>
                <m:sub>
                  <m:r>
                    <w:rPr>
                      <w:rFonts w:ascii="Cambria Math" w:hAnsi="Cambria Math"/>
                      <w:sz w:val="16"/>
                      <w:szCs w:val="16"/>
                    </w:rPr>
                    <m:t>ilLCSMI</m:t>
                  </m:r>
                </m:sub>
              </m:sSub>
            </m:oMath>
            <w:r w:rsidR="00F21189" w:rsidRPr="00B44F16">
              <w:rPr>
                <w:rFonts w:eastAsiaTheme="minorEastAsia"/>
                <w:sz w:val="16"/>
                <w:szCs w:val="16"/>
              </w:rPr>
              <w:t>=</w:t>
            </w:r>
            <m:oMath>
              <m:sSub>
                <m:sSubPr>
                  <m:ctrlPr>
                    <w:rPr>
                      <w:rFonts w:ascii="Cambria Math" w:hAnsi="Cambria Math"/>
                      <w:sz w:val="16"/>
                      <w:szCs w:val="16"/>
                    </w:rPr>
                  </m:ctrlPr>
                </m:sSubPr>
                <m:e>
                  <m:r>
                    <w:rPr>
                      <w:rFonts w:ascii="Cambria Math" w:hAnsi="Cambria Math"/>
                      <w:sz w:val="16"/>
                      <w:szCs w:val="16"/>
                    </w:rPr>
                    <m:t>D</m:t>
                  </m:r>
                </m:e>
                <m:sub>
                  <m:r>
                    <w:rPr>
                      <w:rFonts w:ascii="Cambria Math" w:hAnsi="Cambria Math"/>
                      <w:sz w:val="16"/>
                      <w:szCs w:val="16"/>
                    </w:rPr>
                    <m:t>ilLCSMIPl</m:t>
                  </m:r>
                </m:sub>
              </m:sSub>
            </m:oMath>
            <w:r w:rsidR="00F21189" w:rsidRPr="00B44F16">
              <w:rPr>
                <w:rFonts w:eastAsiaTheme="minorEastAsia"/>
                <w:sz w:val="16"/>
                <w:szCs w:val="16"/>
              </w:rPr>
              <w:t>+</w:t>
            </w:r>
            <m:oMath>
              <m:sSub>
                <m:sSubPr>
                  <m:ctrlPr>
                    <w:rPr>
                      <w:rFonts w:ascii="Cambria Math" w:hAnsi="Cambria Math"/>
                      <w:sz w:val="16"/>
                      <w:szCs w:val="16"/>
                    </w:rPr>
                  </m:ctrlPr>
                </m:sSubPr>
                <m:e>
                  <m:r>
                    <w:rPr>
                      <w:rFonts w:ascii="Cambria Math" w:hAnsi="Cambria Math"/>
                      <w:sz w:val="16"/>
                      <w:szCs w:val="16"/>
                    </w:rPr>
                    <m:t>D</m:t>
                  </m:r>
                </m:e>
                <m:sub>
                  <m:r>
                    <w:rPr>
                      <w:rFonts w:ascii="Cambria Math" w:hAnsi="Cambria Math"/>
                      <w:sz w:val="16"/>
                      <w:szCs w:val="16"/>
                    </w:rPr>
                    <m:t>ilLCSMINpl</m:t>
                  </m:r>
                </m:sub>
              </m:sSub>
            </m:oMath>
            <w:r w:rsidR="00F21189">
              <w:rPr>
                <w:rFonts w:eastAsiaTheme="minorEastAsia"/>
                <w:sz w:val="20"/>
                <w:szCs w:val="20"/>
              </w:rPr>
              <w:t xml:space="preserve"> [min.]</w:t>
            </w:r>
          </w:p>
        </w:tc>
        <w:tc>
          <w:tcPr>
            <w:tcW w:w="403" w:type="pct"/>
          </w:tcPr>
          <w:p w:rsidR="00F21189" w:rsidRDefault="00F21189" w:rsidP="00775E00">
            <w:pPr>
              <w:numPr>
                <w:ilvl w:val="0"/>
                <w:numId w:val="23"/>
              </w:numPr>
              <w:suppressAutoHyphens/>
              <w:autoSpaceDN w:val="0"/>
              <w:spacing w:before="120" w:after="120" w:line="247" w:lineRule="auto"/>
              <w:ind w:left="0" w:hanging="221"/>
              <w:textAlignment w:val="baseline"/>
              <w:rPr>
                <w:rFonts w:eastAsia="Times New Roman"/>
                <w:sz w:val="20"/>
                <w:szCs w:val="20"/>
              </w:rPr>
            </w:pPr>
          </w:p>
        </w:tc>
        <w:tc>
          <w:tcPr>
            <w:tcW w:w="1533" w:type="pct"/>
            <w:shd w:val="clear" w:color="auto" w:fill="auto"/>
            <w:tcMar>
              <w:top w:w="0" w:type="dxa"/>
              <w:left w:w="108" w:type="dxa"/>
              <w:bottom w:w="0" w:type="dxa"/>
              <w:right w:w="108" w:type="dxa"/>
            </w:tcMar>
            <w:vAlign w:val="center"/>
          </w:tcPr>
          <w:p w:rsidR="00F21189" w:rsidRPr="00B640E4" w:rsidRDefault="00BE141B" w:rsidP="00775E00">
            <w:pPr>
              <w:numPr>
                <w:ilvl w:val="0"/>
                <w:numId w:val="23"/>
              </w:numPr>
              <w:suppressAutoHyphens/>
              <w:autoSpaceDN w:val="0"/>
              <w:spacing w:before="120" w:after="120"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ilLCSMI</m:t>
                  </m:r>
                </m:sub>
              </m:sSub>
            </m:oMath>
            <w:r w:rsidR="00F21189" w:rsidRPr="00B640E4">
              <w:rPr>
                <w:sz w:val="20"/>
                <w:szCs w:val="20"/>
              </w:rPr>
              <w:t xml:space="preserve">- </w:t>
            </w:r>
            <w:r w:rsidR="00F21189" w:rsidRPr="00AF42DA">
              <w:rPr>
                <w:sz w:val="18"/>
                <w:szCs w:val="18"/>
              </w:rPr>
              <w:t xml:space="preserve">durata cumulată a întreruperilor lungi - conform definiției din </w:t>
            </w:r>
            <w:r w:rsidR="00F21189" w:rsidRPr="00C72C71">
              <w:rPr>
                <w:sz w:val="18"/>
                <w:szCs w:val="18"/>
              </w:rPr>
              <w:t>Standardul de performanţă pentru serviciul de distribuţie a energiei electrice</w:t>
            </w:r>
            <w:r w:rsidR="00F21189" w:rsidRPr="00AF42DA">
              <w:rPr>
                <w:sz w:val="18"/>
                <w:szCs w:val="18"/>
              </w:rPr>
              <w:t xml:space="preserve"> în vigoare - (exprimată în minute), înregistrată în anul de raportare la locurile de </w:t>
            </w:r>
            <w:r w:rsidR="009137F6">
              <w:rPr>
                <w:sz w:val="18"/>
                <w:szCs w:val="18"/>
              </w:rPr>
              <w:t>consum/de producere</w:t>
            </w:r>
            <w:r w:rsidR="00F21189" w:rsidRPr="00AF42DA">
              <w:rPr>
                <w:sz w:val="18"/>
                <w:szCs w:val="18"/>
              </w:rPr>
              <w:t xml:space="preserve"> și consum integrate în SMI până la sfârșitul </w:t>
            </w:r>
            <w:r w:rsidR="00F21189">
              <w:rPr>
                <w:sz w:val="18"/>
                <w:szCs w:val="18"/>
              </w:rPr>
              <w:t>perioadei</w:t>
            </w:r>
            <w:r w:rsidR="00F21189" w:rsidRPr="00AF42DA">
              <w:rPr>
                <w:sz w:val="18"/>
                <w:szCs w:val="18"/>
              </w:rPr>
              <w:t xml:space="preserve"> de raportare</w:t>
            </w:r>
          </w:p>
        </w:tc>
        <w:tc>
          <w:tcPr>
            <w:tcW w:w="740" w:type="pct"/>
            <w:vMerge w:val="restart"/>
            <w:shd w:val="clear" w:color="auto" w:fill="auto"/>
            <w:tcMar>
              <w:top w:w="0" w:type="dxa"/>
              <w:left w:w="108" w:type="dxa"/>
              <w:bottom w:w="0" w:type="dxa"/>
              <w:right w:w="108" w:type="dxa"/>
            </w:tcMar>
            <w:vAlign w:val="center"/>
          </w:tcPr>
          <w:p w:rsidR="00F21189" w:rsidRPr="006D02E3" w:rsidRDefault="00F21189" w:rsidP="00775E00">
            <w:pPr>
              <w:rPr>
                <w:sz w:val="16"/>
                <w:szCs w:val="16"/>
              </w:rPr>
            </w:pPr>
            <w:r w:rsidRPr="006D02E3">
              <w:rPr>
                <w:sz w:val="16"/>
                <w:szCs w:val="16"/>
              </w:rPr>
              <w:t>Raportarea se transmite anual.</w:t>
            </w:r>
          </w:p>
        </w:tc>
      </w:tr>
      <w:tr w:rsidR="00F21189" w:rsidRPr="00B640E4" w:rsidTr="006D02E3">
        <w:trPr>
          <w:trHeight w:val="1362"/>
        </w:trPr>
        <w:tc>
          <w:tcPr>
            <w:tcW w:w="253" w:type="pct"/>
            <w:shd w:val="clear" w:color="auto" w:fill="auto"/>
            <w:tcMar>
              <w:top w:w="0" w:type="dxa"/>
              <w:left w:w="108" w:type="dxa"/>
              <w:bottom w:w="0" w:type="dxa"/>
              <w:right w:w="108" w:type="dxa"/>
            </w:tcMar>
            <w:vAlign w:val="center"/>
          </w:tcPr>
          <w:p w:rsidR="00F21189" w:rsidRPr="006D02E3" w:rsidRDefault="00F21189" w:rsidP="00C72C71">
            <w:pPr>
              <w:suppressAutoHyphens/>
              <w:autoSpaceDN w:val="0"/>
              <w:spacing w:before="120" w:after="280" w:line="247" w:lineRule="auto"/>
              <w:ind w:left="38"/>
              <w:jc w:val="center"/>
              <w:textAlignment w:val="baseline"/>
              <w:rPr>
                <w:sz w:val="20"/>
                <w:szCs w:val="20"/>
              </w:rPr>
            </w:pPr>
            <w:r w:rsidRPr="006D02E3">
              <w:rPr>
                <w:sz w:val="20"/>
                <w:szCs w:val="20"/>
              </w:rPr>
              <w:t>14.1</w:t>
            </w:r>
          </w:p>
        </w:tc>
        <w:tc>
          <w:tcPr>
            <w:tcW w:w="1111" w:type="pct"/>
            <w:shd w:val="clear" w:color="auto" w:fill="auto"/>
            <w:tcMar>
              <w:top w:w="0" w:type="dxa"/>
              <w:left w:w="108" w:type="dxa"/>
              <w:bottom w:w="0" w:type="dxa"/>
              <w:right w:w="108" w:type="dxa"/>
            </w:tcMar>
            <w:vAlign w:val="center"/>
          </w:tcPr>
          <w:p w:rsidR="00F21189" w:rsidRPr="00B640E4" w:rsidRDefault="00F21189" w:rsidP="00775E00">
            <w:pPr>
              <w:rPr>
                <w:sz w:val="20"/>
                <w:szCs w:val="20"/>
              </w:rPr>
            </w:pPr>
            <w:r>
              <w:rPr>
                <w:sz w:val="20"/>
                <w:szCs w:val="20"/>
              </w:rPr>
              <w:t xml:space="preserve"> - durata cumulată a întreruperilor lungi planificate </w:t>
            </w:r>
          </w:p>
        </w:tc>
        <w:tc>
          <w:tcPr>
            <w:tcW w:w="960" w:type="pct"/>
            <w:shd w:val="clear" w:color="auto" w:fill="auto"/>
            <w:tcMar>
              <w:top w:w="0" w:type="dxa"/>
              <w:left w:w="108" w:type="dxa"/>
              <w:bottom w:w="0" w:type="dxa"/>
              <w:right w:w="108" w:type="dxa"/>
            </w:tcMar>
            <w:vAlign w:val="center"/>
          </w:tcPr>
          <w:p w:rsidR="00F21189" w:rsidRDefault="00BE141B" w:rsidP="00775E00">
            <w:pPr>
              <w:jc w:val="center"/>
              <w:rPr>
                <w:rFonts w:eastAsia="Calibri"/>
                <w:sz w:val="20"/>
                <w:szCs w:val="20"/>
              </w:rPr>
            </w:pPr>
            <m:oMath>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ilLCSMIPl</m:t>
                  </m:r>
                </m:sub>
              </m:sSub>
            </m:oMath>
            <w:r w:rsidR="00F21189">
              <w:rPr>
                <w:rFonts w:eastAsia="Calibri"/>
                <w:sz w:val="20"/>
                <w:szCs w:val="20"/>
              </w:rPr>
              <w:t xml:space="preserve"> [min.]</w:t>
            </w:r>
          </w:p>
        </w:tc>
        <w:tc>
          <w:tcPr>
            <w:tcW w:w="403" w:type="pct"/>
          </w:tcPr>
          <w:p w:rsidR="00F21189" w:rsidRDefault="00F21189" w:rsidP="00775E00">
            <w:pPr>
              <w:numPr>
                <w:ilvl w:val="0"/>
                <w:numId w:val="23"/>
              </w:numPr>
              <w:suppressAutoHyphens/>
              <w:autoSpaceDN w:val="0"/>
              <w:spacing w:before="120" w:after="120" w:line="247" w:lineRule="auto"/>
              <w:ind w:left="0" w:hanging="221"/>
              <w:textAlignment w:val="baseline"/>
              <w:rPr>
                <w:rFonts w:eastAsia="Times New Roman"/>
                <w:sz w:val="20"/>
                <w:szCs w:val="20"/>
              </w:rPr>
            </w:pPr>
          </w:p>
        </w:tc>
        <w:tc>
          <w:tcPr>
            <w:tcW w:w="1533" w:type="pct"/>
            <w:shd w:val="clear" w:color="auto" w:fill="auto"/>
            <w:tcMar>
              <w:top w:w="0" w:type="dxa"/>
              <w:left w:w="108" w:type="dxa"/>
              <w:bottom w:w="0" w:type="dxa"/>
              <w:right w:w="108" w:type="dxa"/>
            </w:tcMar>
            <w:vAlign w:val="center"/>
          </w:tcPr>
          <w:p w:rsidR="00F21189" w:rsidRDefault="00F21189" w:rsidP="00775E00">
            <w:pPr>
              <w:numPr>
                <w:ilvl w:val="0"/>
                <w:numId w:val="23"/>
              </w:numPr>
              <w:suppressAutoHyphens/>
              <w:autoSpaceDN w:val="0"/>
              <w:spacing w:before="120" w:after="120" w:line="247" w:lineRule="auto"/>
              <w:ind w:left="0" w:hanging="221"/>
              <w:textAlignment w:val="baseline"/>
              <w:rPr>
                <w:rFonts w:eastAsia="Times New Roman"/>
                <w:sz w:val="20"/>
                <w:szCs w:val="20"/>
              </w:rPr>
            </w:pPr>
            <w:r>
              <w:rPr>
                <w:sz w:val="20"/>
                <w:szCs w:val="20"/>
              </w:rPr>
              <w:t xml:space="preserve">Suma duratelor aferente întreruperilor planificate în anul de raportare pentru activități de mentenanță în instalațiile electrice, care afectează locuri de </w:t>
            </w:r>
            <w:r w:rsidR="009137F6">
              <w:rPr>
                <w:sz w:val="20"/>
                <w:szCs w:val="20"/>
              </w:rPr>
              <w:t>consum/de producere</w:t>
            </w:r>
            <w:r>
              <w:rPr>
                <w:sz w:val="20"/>
                <w:szCs w:val="20"/>
              </w:rPr>
              <w:t xml:space="preserve"> și consum integrate în SMI</w:t>
            </w:r>
          </w:p>
        </w:tc>
        <w:tc>
          <w:tcPr>
            <w:tcW w:w="740" w:type="pct"/>
            <w:vMerge/>
            <w:shd w:val="clear" w:color="auto" w:fill="auto"/>
            <w:tcMar>
              <w:top w:w="0" w:type="dxa"/>
              <w:left w:w="108" w:type="dxa"/>
              <w:bottom w:w="0" w:type="dxa"/>
              <w:right w:w="108" w:type="dxa"/>
            </w:tcMar>
            <w:vAlign w:val="center"/>
          </w:tcPr>
          <w:p w:rsidR="00F21189" w:rsidRPr="006D02E3" w:rsidRDefault="00F21189" w:rsidP="00775E00">
            <w:pPr>
              <w:rPr>
                <w:sz w:val="16"/>
                <w:szCs w:val="16"/>
              </w:rPr>
            </w:pPr>
          </w:p>
        </w:tc>
      </w:tr>
      <w:tr w:rsidR="00F21189" w:rsidRPr="00B640E4" w:rsidTr="006D02E3">
        <w:trPr>
          <w:trHeight w:val="1362"/>
        </w:trPr>
        <w:tc>
          <w:tcPr>
            <w:tcW w:w="253" w:type="pct"/>
            <w:shd w:val="clear" w:color="auto" w:fill="auto"/>
            <w:tcMar>
              <w:top w:w="0" w:type="dxa"/>
              <w:left w:w="108" w:type="dxa"/>
              <w:bottom w:w="0" w:type="dxa"/>
              <w:right w:w="108" w:type="dxa"/>
            </w:tcMar>
            <w:vAlign w:val="center"/>
          </w:tcPr>
          <w:p w:rsidR="00F21189" w:rsidRPr="006D02E3" w:rsidRDefault="00F21189" w:rsidP="00C72C71">
            <w:pPr>
              <w:suppressAutoHyphens/>
              <w:autoSpaceDN w:val="0"/>
              <w:spacing w:before="120" w:after="280" w:line="247" w:lineRule="auto"/>
              <w:ind w:left="38"/>
              <w:jc w:val="center"/>
              <w:textAlignment w:val="baseline"/>
              <w:rPr>
                <w:sz w:val="20"/>
                <w:szCs w:val="20"/>
              </w:rPr>
            </w:pPr>
            <w:r w:rsidRPr="006D02E3">
              <w:rPr>
                <w:sz w:val="20"/>
                <w:szCs w:val="20"/>
              </w:rPr>
              <w:lastRenderedPageBreak/>
              <w:t>14.2</w:t>
            </w:r>
          </w:p>
        </w:tc>
        <w:tc>
          <w:tcPr>
            <w:tcW w:w="1111" w:type="pct"/>
            <w:shd w:val="clear" w:color="auto" w:fill="auto"/>
            <w:tcMar>
              <w:top w:w="0" w:type="dxa"/>
              <w:left w:w="108" w:type="dxa"/>
              <w:bottom w:w="0" w:type="dxa"/>
              <w:right w:w="108" w:type="dxa"/>
            </w:tcMar>
            <w:vAlign w:val="center"/>
          </w:tcPr>
          <w:p w:rsidR="00F21189" w:rsidRPr="00B640E4" w:rsidRDefault="00F21189" w:rsidP="00775E00">
            <w:pPr>
              <w:rPr>
                <w:sz w:val="20"/>
                <w:szCs w:val="20"/>
              </w:rPr>
            </w:pPr>
            <w:r>
              <w:rPr>
                <w:sz w:val="20"/>
                <w:szCs w:val="20"/>
              </w:rPr>
              <w:t>- durata cumulată a întreruperilor lungi neplanificate</w:t>
            </w:r>
          </w:p>
        </w:tc>
        <w:tc>
          <w:tcPr>
            <w:tcW w:w="960" w:type="pct"/>
            <w:shd w:val="clear" w:color="auto" w:fill="auto"/>
            <w:tcMar>
              <w:top w:w="0" w:type="dxa"/>
              <w:left w:w="108" w:type="dxa"/>
              <w:bottom w:w="0" w:type="dxa"/>
              <w:right w:w="108" w:type="dxa"/>
            </w:tcMar>
            <w:vAlign w:val="center"/>
          </w:tcPr>
          <w:p w:rsidR="00F21189" w:rsidRDefault="00BE141B" w:rsidP="00775E00">
            <w:pPr>
              <w:jc w:val="center"/>
              <w:rPr>
                <w:rFonts w:eastAsia="Calibri"/>
                <w:sz w:val="20"/>
                <w:szCs w:val="20"/>
              </w:rPr>
            </w:pPr>
            <m:oMath>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ilLCSMINpl</m:t>
                  </m:r>
                </m:sub>
              </m:sSub>
            </m:oMath>
            <w:r w:rsidR="00F21189">
              <w:rPr>
                <w:rFonts w:eastAsia="Calibri"/>
                <w:sz w:val="20"/>
                <w:szCs w:val="20"/>
              </w:rPr>
              <w:t xml:space="preserve"> [min]</w:t>
            </w:r>
          </w:p>
        </w:tc>
        <w:tc>
          <w:tcPr>
            <w:tcW w:w="403" w:type="pct"/>
          </w:tcPr>
          <w:p w:rsidR="00F21189" w:rsidRDefault="00F21189" w:rsidP="00775E00">
            <w:pPr>
              <w:numPr>
                <w:ilvl w:val="0"/>
                <w:numId w:val="23"/>
              </w:numPr>
              <w:suppressAutoHyphens/>
              <w:autoSpaceDN w:val="0"/>
              <w:spacing w:before="120" w:after="120" w:line="247" w:lineRule="auto"/>
              <w:ind w:left="0" w:hanging="221"/>
              <w:textAlignment w:val="baseline"/>
              <w:rPr>
                <w:rFonts w:eastAsia="Times New Roman"/>
                <w:sz w:val="20"/>
                <w:szCs w:val="20"/>
              </w:rPr>
            </w:pPr>
          </w:p>
        </w:tc>
        <w:tc>
          <w:tcPr>
            <w:tcW w:w="1533" w:type="pct"/>
            <w:shd w:val="clear" w:color="auto" w:fill="auto"/>
            <w:tcMar>
              <w:top w:w="0" w:type="dxa"/>
              <w:left w:w="108" w:type="dxa"/>
              <w:bottom w:w="0" w:type="dxa"/>
              <w:right w:w="108" w:type="dxa"/>
            </w:tcMar>
            <w:vAlign w:val="center"/>
          </w:tcPr>
          <w:p w:rsidR="00F21189" w:rsidRDefault="00F21189" w:rsidP="00775E00">
            <w:pPr>
              <w:numPr>
                <w:ilvl w:val="0"/>
                <w:numId w:val="23"/>
              </w:numPr>
              <w:suppressAutoHyphens/>
              <w:autoSpaceDN w:val="0"/>
              <w:spacing w:before="120" w:after="120" w:line="247" w:lineRule="auto"/>
              <w:ind w:left="0" w:hanging="221"/>
              <w:textAlignment w:val="baseline"/>
              <w:rPr>
                <w:rFonts w:eastAsia="Times New Roman"/>
                <w:sz w:val="20"/>
                <w:szCs w:val="20"/>
              </w:rPr>
            </w:pPr>
            <w:r>
              <w:rPr>
                <w:sz w:val="20"/>
                <w:szCs w:val="20"/>
              </w:rPr>
              <w:t xml:space="preserve">Suma duratelor aferente întreruperilor cauzate de incidente neprevăzute, avarii, fenomene meteorologice etc., în anul de raportare, care afectează locuri de </w:t>
            </w:r>
            <w:r w:rsidR="009137F6">
              <w:rPr>
                <w:sz w:val="20"/>
                <w:szCs w:val="20"/>
              </w:rPr>
              <w:t>consum/de producere</w:t>
            </w:r>
            <w:r>
              <w:rPr>
                <w:sz w:val="20"/>
                <w:szCs w:val="20"/>
              </w:rPr>
              <w:t xml:space="preserve"> și consum integrate în SMI </w:t>
            </w:r>
          </w:p>
        </w:tc>
        <w:tc>
          <w:tcPr>
            <w:tcW w:w="740" w:type="pct"/>
            <w:vMerge/>
            <w:shd w:val="clear" w:color="auto" w:fill="auto"/>
            <w:tcMar>
              <w:top w:w="0" w:type="dxa"/>
              <w:left w:w="108" w:type="dxa"/>
              <w:bottom w:w="0" w:type="dxa"/>
              <w:right w:w="108" w:type="dxa"/>
            </w:tcMar>
            <w:vAlign w:val="center"/>
          </w:tcPr>
          <w:p w:rsidR="00F21189" w:rsidRPr="00B640E4" w:rsidRDefault="00F21189" w:rsidP="00775E00">
            <w:pPr>
              <w:rPr>
                <w:sz w:val="20"/>
                <w:szCs w:val="20"/>
              </w:rPr>
            </w:pPr>
          </w:p>
        </w:tc>
      </w:tr>
      <w:tr w:rsidR="00D60900" w:rsidRPr="00B640E4" w:rsidTr="006D02E3">
        <w:trPr>
          <w:trHeight w:val="684"/>
        </w:trPr>
        <w:tc>
          <w:tcPr>
            <w:tcW w:w="253" w:type="pct"/>
            <w:shd w:val="clear" w:color="auto" w:fill="auto"/>
            <w:tcMar>
              <w:top w:w="0" w:type="dxa"/>
              <w:left w:w="108" w:type="dxa"/>
              <w:bottom w:w="0" w:type="dxa"/>
              <w:right w:w="108" w:type="dxa"/>
            </w:tcMar>
            <w:vAlign w:val="center"/>
          </w:tcPr>
          <w:p w:rsidR="00D60900" w:rsidRPr="00B640E4" w:rsidRDefault="00D609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D60900" w:rsidRPr="006D02E3" w:rsidRDefault="002A183A" w:rsidP="00775E00">
            <w:pPr>
              <w:rPr>
                <w:rFonts w:eastAsiaTheme="minorEastAsia"/>
                <w:sz w:val="20"/>
                <w:szCs w:val="20"/>
              </w:rPr>
            </w:pPr>
            <w:r>
              <w:rPr>
                <w:sz w:val="20"/>
                <w:szCs w:val="20"/>
              </w:rPr>
              <w:t xml:space="preserve">Cantitatea de energie </w:t>
            </w:r>
            <w:r w:rsidR="006C4F80">
              <w:rPr>
                <w:sz w:val="20"/>
                <w:szCs w:val="20"/>
              </w:rPr>
              <w:t xml:space="preserve">electrică </w:t>
            </w:r>
            <w:r>
              <w:rPr>
                <w:sz w:val="20"/>
                <w:szCs w:val="20"/>
              </w:rPr>
              <w:t>recuperată din pierderile comerciale aferente</w:t>
            </w:r>
            <w:r w:rsidR="00D60900" w:rsidRPr="007054FE">
              <w:rPr>
                <w:sz w:val="20"/>
                <w:szCs w:val="20"/>
              </w:rPr>
              <w:t xml:space="preserve"> rețelelor</w:t>
            </w:r>
            <w:r w:rsidR="00D60900" w:rsidRPr="00B640E4">
              <w:rPr>
                <w:sz w:val="20"/>
                <w:szCs w:val="20"/>
              </w:rPr>
              <w:t xml:space="preserve"> electrice de JT </w:t>
            </w:r>
            <w:r>
              <w:rPr>
                <w:sz w:val="20"/>
                <w:szCs w:val="20"/>
              </w:rPr>
              <w:t>din zonele cu locuri de consum/de producere și consum integrate în SMI, înregistrată în anul de raportare</w:t>
            </w:r>
          </w:p>
        </w:tc>
        <w:tc>
          <w:tcPr>
            <w:tcW w:w="960" w:type="pct"/>
            <w:shd w:val="clear" w:color="auto" w:fill="auto"/>
            <w:tcMar>
              <w:top w:w="0" w:type="dxa"/>
              <w:left w:w="108" w:type="dxa"/>
              <w:bottom w:w="0" w:type="dxa"/>
              <w:right w:w="108" w:type="dxa"/>
            </w:tcMar>
            <w:vAlign w:val="center"/>
          </w:tcPr>
          <w:p w:rsidR="00D60900" w:rsidRPr="00B640E4" w:rsidRDefault="00BE141B" w:rsidP="00775E00">
            <w:pPr>
              <w:jc w:val="center"/>
            </w:pPr>
            <m:oMath>
              <m:sSub>
                <m:sSubPr>
                  <m:ctrlPr>
                    <w:rPr>
                      <w:rFonts w:ascii="Cambria Math" w:hAnsi="Cambria Math"/>
                      <w:sz w:val="20"/>
                      <w:szCs w:val="20"/>
                    </w:rPr>
                  </m:ctrlPr>
                </m:sSubPr>
                <m:e>
                  <m:r>
                    <w:rPr>
                      <w:rFonts w:ascii="Cambria Math" w:hAnsi="Cambria Math"/>
                      <w:sz w:val="20"/>
                      <w:szCs w:val="20"/>
                    </w:rPr>
                    <m:t>E</m:t>
                  </m:r>
                </m:e>
                <m:sub>
                  <m:r>
                    <w:rPr>
                      <w:rFonts w:ascii="Cambria Math" w:hAnsi="Cambria Math"/>
                      <w:sz w:val="20"/>
                      <w:szCs w:val="20"/>
                    </w:rPr>
                    <m:t>rec_pc</m:t>
                  </m:r>
                </m:sub>
              </m:sSub>
            </m:oMath>
            <w:r w:rsidR="00D60900" w:rsidRPr="00B640E4">
              <w:t xml:space="preserve"> [</w:t>
            </w:r>
            <w:r w:rsidR="002A183A">
              <w:t>MWh</w:t>
            </w:r>
            <w:r w:rsidR="00D60900" w:rsidRPr="00B640E4">
              <w:t>]</w:t>
            </w:r>
          </w:p>
        </w:tc>
        <w:tc>
          <w:tcPr>
            <w:tcW w:w="403" w:type="pct"/>
          </w:tcPr>
          <w:p w:rsidR="00D60900" w:rsidRDefault="00D60900" w:rsidP="00775E00">
            <w:pPr>
              <w:numPr>
                <w:ilvl w:val="0"/>
                <w:numId w:val="23"/>
              </w:numPr>
              <w:suppressAutoHyphens/>
              <w:autoSpaceDN w:val="0"/>
              <w:spacing w:before="120" w:line="247" w:lineRule="auto"/>
              <w:ind w:left="0" w:hanging="221"/>
              <w:textAlignment w:val="baseline"/>
              <w:rPr>
                <w:rFonts w:eastAsia="Calibri"/>
                <w:sz w:val="20"/>
                <w:szCs w:val="20"/>
              </w:rPr>
            </w:pPr>
          </w:p>
        </w:tc>
        <w:tc>
          <w:tcPr>
            <w:tcW w:w="1533" w:type="pct"/>
            <w:shd w:val="clear" w:color="auto" w:fill="auto"/>
            <w:tcMar>
              <w:top w:w="0" w:type="dxa"/>
              <w:left w:w="108" w:type="dxa"/>
              <w:bottom w:w="0" w:type="dxa"/>
              <w:right w:w="108" w:type="dxa"/>
            </w:tcMar>
            <w:vAlign w:val="center"/>
          </w:tcPr>
          <w:p w:rsidR="00D60900" w:rsidRPr="00B640E4" w:rsidRDefault="00D60900" w:rsidP="00775E00">
            <w:pPr>
              <w:numPr>
                <w:ilvl w:val="0"/>
                <w:numId w:val="23"/>
              </w:numPr>
              <w:suppressAutoHyphens/>
              <w:autoSpaceDN w:val="0"/>
              <w:spacing w:before="120" w:line="247" w:lineRule="auto"/>
              <w:ind w:left="0" w:hanging="221"/>
              <w:textAlignment w:val="baseline"/>
              <w:rPr>
                <w:sz w:val="20"/>
                <w:szCs w:val="20"/>
              </w:rPr>
            </w:pPr>
          </w:p>
        </w:tc>
        <w:tc>
          <w:tcPr>
            <w:tcW w:w="740" w:type="pct"/>
            <w:shd w:val="clear" w:color="auto" w:fill="auto"/>
            <w:tcMar>
              <w:top w:w="0" w:type="dxa"/>
              <w:left w:w="108" w:type="dxa"/>
              <w:bottom w:w="0" w:type="dxa"/>
              <w:right w:w="108" w:type="dxa"/>
            </w:tcMar>
            <w:vAlign w:val="center"/>
          </w:tcPr>
          <w:p w:rsidR="00D60900" w:rsidRPr="006D02E3" w:rsidRDefault="00D60900" w:rsidP="00775E00">
            <w:pPr>
              <w:rPr>
                <w:sz w:val="16"/>
                <w:szCs w:val="16"/>
              </w:rPr>
            </w:pPr>
            <w:r w:rsidRPr="006D02E3">
              <w:rPr>
                <w:sz w:val="16"/>
                <w:szCs w:val="16"/>
              </w:rPr>
              <w:t xml:space="preserve">Raportarea se transmite anual. </w:t>
            </w:r>
          </w:p>
          <w:p w:rsidR="00D60900" w:rsidRPr="006D02E3" w:rsidRDefault="00D60900" w:rsidP="00775E00">
            <w:pPr>
              <w:rPr>
                <w:sz w:val="16"/>
                <w:szCs w:val="16"/>
              </w:rPr>
            </w:pPr>
            <w:r w:rsidRPr="006D02E3">
              <w:rPr>
                <w:sz w:val="16"/>
                <w:szCs w:val="16"/>
              </w:rPr>
              <w:t>În raportare se vor preciza valorile aferente energiei electrice folosite la determinarea indicatorului</w:t>
            </w:r>
          </w:p>
        </w:tc>
      </w:tr>
      <w:tr w:rsidR="0051515F" w:rsidRPr="00B640E4" w:rsidTr="006D02E3">
        <w:trPr>
          <w:trHeight w:val="788"/>
        </w:trPr>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pPr>
          </w:p>
        </w:tc>
        <w:tc>
          <w:tcPr>
            <w:tcW w:w="1111" w:type="pct"/>
            <w:shd w:val="clear" w:color="auto" w:fill="auto"/>
            <w:tcMar>
              <w:top w:w="0" w:type="dxa"/>
              <w:left w:w="108" w:type="dxa"/>
              <w:bottom w:w="0" w:type="dxa"/>
              <w:right w:w="108" w:type="dxa"/>
            </w:tcMar>
            <w:vAlign w:val="center"/>
          </w:tcPr>
          <w:p w:rsidR="00775E00" w:rsidRDefault="00775E00" w:rsidP="00775E00">
            <w:pPr>
              <w:rPr>
                <w:rFonts w:eastAsiaTheme="minorEastAsia"/>
                <w:sz w:val="20"/>
                <w:szCs w:val="20"/>
              </w:rPr>
            </w:pPr>
            <w:r w:rsidRPr="00B640E4">
              <w:rPr>
                <w:sz w:val="20"/>
                <w:szCs w:val="20"/>
              </w:rPr>
              <w:t xml:space="preserve">Dinamica schimbării opțiunilor privind planurile tarifare la utilizatori </w:t>
            </w:r>
          </w:p>
          <w:p w:rsidR="00775E00" w:rsidRPr="00F22D1C" w:rsidRDefault="00775E00" w:rsidP="00775E00">
            <w:pPr>
              <w:rPr>
                <w:sz w:val="6"/>
                <w:szCs w:val="6"/>
              </w:rPr>
            </w:pPr>
          </w:p>
          <w:p w:rsidR="00775E00" w:rsidRPr="00B640E4" w:rsidRDefault="00775E00" w:rsidP="00775E00">
            <w:pPr>
              <w:rPr>
                <w:sz w:val="20"/>
                <w:szCs w:val="20"/>
              </w:rPr>
            </w:pPr>
          </w:p>
        </w:tc>
        <w:tc>
          <w:tcPr>
            <w:tcW w:w="960" w:type="pct"/>
            <w:shd w:val="clear" w:color="auto" w:fill="auto"/>
            <w:tcMar>
              <w:top w:w="0" w:type="dxa"/>
              <w:left w:w="108" w:type="dxa"/>
              <w:bottom w:w="0" w:type="dxa"/>
              <w:right w:w="108" w:type="dxa"/>
            </w:tcMar>
            <w:vAlign w:val="center"/>
          </w:tcPr>
          <w:p w:rsidR="00775E00" w:rsidRPr="00B640E4" w:rsidRDefault="00BE141B" w:rsidP="00775E00">
            <w:pPr>
              <w:jc w:val="center"/>
            </w:pP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plt</m:t>
                  </m:r>
                </m:sub>
              </m:sSub>
              <m:r>
                <w:rPr>
                  <w:rFonts w:ascii="Cambria Math" w:hAnsi="Cambria Math"/>
                  <w:sz w:val="20"/>
                  <w:szCs w:val="20"/>
                </w:rPr>
                <m:t xml:space="preserve">= </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nLC</m:t>
                      </m:r>
                    </m:e>
                    <m:sub>
                      <m:r>
                        <w:rPr>
                          <w:rFonts w:ascii="Cambria Math" w:hAnsi="Cambria Math"/>
                          <w:sz w:val="20"/>
                          <w:szCs w:val="20"/>
                        </w:rPr>
                        <m:t>optnou</m:t>
                      </m:r>
                    </m:sub>
                  </m:sSub>
                </m:num>
                <m:den>
                  <m:r>
                    <w:rPr>
                      <w:rFonts w:ascii="Cambria Math" w:hAnsi="Cambria Math"/>
                      <w:sz w:val="20"/>
                      <w:szCs w:val="20"/>
                    </w:rPr>
                    <m:t>nTLCSMI</m:t>
                  </m:r>
                </m:den>
              </m:f>
              <m:r>
                <w:rPr>
                  <w:rFonts w:ascii="Cambria Math" w:hAnsi="Cambria Math"/>
                  <w:sz w:val="20"/>
                  <w:szCs w:val="20"/>
                </w:rPr>
                <m:t>*100</m:t>
              </m:r>
            </m:oMath>
            <w:r w:rsidR="00775E00" w:rsidRPr="00B640E4">
              <w:t xml:space="preserve"> [%]</w:t>
            </w:r>
          </w:p>
        </w:tc>
        <w:tc>
          <w:tcPr>
            <w:tcW w:w="403" w:type="pct"/>
          </w:tcPr>
          <w:p w:rsidR="00775E00" w:rsidRDefault="00775E00" w:rsidP="00775E00">
            <w:pPr>
              <w:numPr>
                <w:ilvl w:val="0"/>
                <w:numId w:val="23"/>
              </w:numPr>
              <w:suppressAutoHyphens/>
              <w:autoSpaceDN w:val="0"/>
              <w:spacing w:before="120" w:line="247" w:lineRule="auto"/>
              <w:ind w:left="0" w:hanging="221"/>
              <w:textAlignment w:val="baseline"/>
              <w:rPr>
                <w:rFonts w:eastAsia="Calibri"/>
                <w:sz w:val="20"/>
                <w:szCs w:val="20"/>
              </w:rPr>
            </w:pPr>
          </w:p>
        </w:tc>
        <w:tc>
          <w:tcPr>
            <w:tcW w:w="1533" w:type="pct"/>
            <w:shd w:val="clear" w:color="auto" w:fill="auto"/>
            <w:tcMar>
              <w:top w:w="0" w:type="dxa"/>
              <w:left w:w="108" w:type="dxa"/>
              <w:bottom w:w="0" w:type="dxa"/>
              <w:right w:w="108" w:type="dxa"/>
            </w:tcMar>
            <w:vAlign w:val="center"/>
          </w:tcPr>
          <w:p w:rsidR="00775E00" w:rsidRPr="00B640E4" w:rsidRDefault="00BE141B" w:rsidP="00775E00">
            <w:pPr>
              <w:numPr>
                <w:ilvl w:val="0"/>
                <w:numId w:val="23"/>
              </w:numPr>
              <w:suppressAutoHyphens/>
              <w:autoSpaceDN w:val="0"/>
              <w:spacing w:before="120"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nLC</m:t>
                  </m:r>
                </m:e>
                <m:sub>
                  <m:r>
                    <w:rPr>
                      <w:rFonts w:ascii="Cambria Math" w:hAnsi="Cambria Math"/>
                      <w:sz w:val="20"/>
                      <w:szCs w:val="20"/>
                    </w:rPr>
                    <m:t>optnou</m:t>
                  </m:r>
                </m:sub>
              </m:sSub>
            </m:oMath>
            <w:r w:rsidR="00775E00" w:rsidRPr="00B640E4">
              <w:rPr>
                <w:sz w:val="20"/>
                <w:szCs w:val="20"/>
              </w:rPr>
              <w:t xml:space="preserve"> –  </w:t>
            </w:r>
            <w:r w:rsidR="00775E00" w:rsidRPr="00AF42DA">
              <w:rPr>
                <w:sz w:val="18"/>
                <w:szCs w:val="18"/>
              </w:rPr>
              <w:t xml:space="preserve">numărul </w:t>
            </w:r>
            <w:r w:rsidR="006B13EE" w:rsidRPr="00AF42DA">
              <w:rPr>
                <w:sz w:val="18"/>
                <w:szCs w:val="18"/>
              </w:rPr>
              <w:t>total de locuri de consum/</w:t>
            </w:r>
            <w:r w:rsidR="003D1C54">
              <w:rPr>
                <w:sz w:val="18"/>
                <w:szCs w:val="18"/>
              </w:rPr>
              <w:t xml:space="preserve"> </w:t>
            </w:r>
            <w:r w:rsidR="006B13EE" w:rsidRPr="00AF42DA">
              <w:rPr>
                <w:sz w:val="18"/>
                <w:szCs w:val="18"/>
              </w:rPr>
              <w:t>producere și consum integrate</w:t>
            </w:r>
            <w:r w:rsidR="00775E00" w:rsidRPr="00AF42DA">
              <w:rPr>
                <w:sz w:val="18"/>
                <w:szCs w:val="18"/>
              </w:rPr>
              <w:t xml:space="preserve"> în SMI </w:t>
            </w:r>
            <w:r w:rsidR="003D1C54">
              <w:rPr>
                <w:sz w:val="18"/>
                <w:szCs w:val="18"/>
              </w:rPr>
              <w:t xml:space="preserve">până la sfârșitul perioadei de raportare, </w:t>
            </w:r>
            <w:r w:rsidR="006B13EE" w:rsidRPr="00AF42DA">
              <w:rPr>
                <w:sz w:val="18"/>
                <w:szCs w:val="18"/>
              </w:rPr>
              <w:t xml:space="preserve">pentru </w:t>
            </w:r>
            <w:r w:rsidR="00775E00" w:rsidRPr="00AF42DA">
              <w:rPr>
                <w:sz w:val="18"/>
                <w:szCs w:val="18"/>
              </w:rPr>
              <w:t xml:space="preserve">care </w:t>
            </w:r>
            <w:r w:rsidR="006B13EE" w:rsidRPr="00AF42DA">
              <w:rPr>
                <w:sz w:val="18"/>
                <w:szCs w:val="18"/>
              </w:rPr>
              <w:t>s-</w:t>
            </w:r>
            <w:r w:rsidR="00775E00" w:rsidRPr="00AF42DA">
              <w:rPr>
                <w:sz w:val="18"/>
                <w:szCs w:val="18"/>
              </w:rPr>
              <w:t xml:space="preserve">a optat pentru schimbarea tipului de tarif în </w:t>
            </w:r>
            <w:r w:rsidR="003D1C54">
              <w:rPr>
                <w:sz w:val="18"/>
                <w:szCs w:val="18"/>
              </w:rPr>
              <w:t xml:space="preserve">cursul </w:t>
            </w:r>
            <w:r w:rsidR="00775E00" w:rsidRPr="00AF42DA">
              <w:rPr>
                <w:sz w:val="18"/>
                <w:szCs w:val="18"/>
              </w:rPr>
              <w:t>anul</w:t>
            </w:r>
            <w:r w:rsidR="003D1C54">
              <w:rPr>
                <w:sz w:val="18"/>
                <w:szCs w:val="18"/>
              </w:rPr>
              <w:t>ui</w:t>
            </w:r>
            <w:r w:rsidR="00775E00" w:rsidRPr="00AF42DA">
              <w:rPr>
                <w:sz w:val="18"/>
                <w:szCs w:val="18"/>
              </w:rPr>
              <w:t xml:space="preserve"> de raportare</w:t>
            </w:r>
          </w:p>
          <w:p w:rsidR="00775E00" w:rsidRPr="00B640E4" w:rsidRDefault="00BE141B" w:rsidP="00775E00">
            <w:pPr>
              <w:numPr>
                <w:ilvl w:val="0"/>
                <w:numId w:val="23"/>
              </w:numPr>
              <w:suppressAutoHyphens/>
              <w:autoSpaceDN w:val="0"/>
              <w:spacing w:line="247" w:lineRule="auto"/>
              <w:ind w:left="0" w:hanging="221"/>
              <w:textAlignment w:val="baseline"/>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TLCSMI</m:t>
                  </m:r>
                </m:sub>
              </m:sSub>
            </m:oMath>
            <w:r w:rsidR="00775E00" w:rsidRPr="00B640E4">
              <w:rPr>
                <w:sz w:val="20"/>
                <w:szCs w:val="20"/>
              </w:rPr>
              <w:t xml:space="preserve"> –  </w:t>
            </w:r>
            <w:r w:rsidR="00775E00" w:rsidRPr="00AF42DA">
              <w:rPr>
                <w:sz w:val="18"/>
                <w:szCs w:val="18"/>
              </w:rPr>
              <w:t xml:space="preserve">numărul </w:t>
            </w:r>
            <w:r w:rsidR="006B13EE" w:rsidRPr="00AF42DA">
              <w:rPr>
                <w:sz w:val="18"/>
                <w:szCs w:val="18"/>
              </w:rPr>
              <w:t xml:space="preserve">total de locuri de </w:t>
            </w:r>
            <w:r w:rsidR="009137F6">
              <w:rPr>
                <w:sz w:val="18"/>
                <w:szCs w:val="18"/>
              </w:rPr>
              <w:t>consum/de producere</w:t>
            </w:r>
            <w:r w:rsidR="006B13EE" w:rsidRPr="00AF42DA">
              <w:rPr>
                <w:sz w:val="18"/>
                <w:szCs w:val="18"/>
              </w:rPr>
              <w:t xml:space="preserve"> și consum integrate</w:t>
            </w:r>
            <w:r w:rsidR="00775E00" w:rsidRPr="00AF42DA">
              <w:rPr>
                <w:sz w:val="18"/>
                <w:szCs w:val="18"/>
              </w:rPr>
              <w:t xml:space="preserve"> în SMI </w:t>
            </w:r>
            <w:r w:rsidR="003D1C54">
              <w:rPr>
                <w:sz w:val="18"/>
                <w:szCs w:val="18"/>
              </w:rPr>
              <w:t xml:space="preserve">până </w:t>
            </w:r>
            <w:r w:rsidR="00775E00" w:rsidRPr="00AF42DA">
              <w:rPr>
                <w:sz w:val="18"/>
                <w:szCs w:val="18"/>
              </w:rPr>
              <w:t>la sfârșitul anului de raportare</w:t>
            </w:r>
            <w:r w:rsidR="00691805">
              <w:rPr>
                <w:sz w:val="18"/>
                <w:szCs w:val="18"/>
              </w:rPr>
              <w:t xml:space="preserve"> (cf. Tabelul nr. 2)</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p>
        </w:tc>
      </w:tr>
      <w:tr w:rsidR="009F0AF1" w:rsidRPr="00B640E4" w:rsidTr="006D02E3">
        <w:trPr>
          <w:trHeight w:val="1503"/>
        </w:trPr>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rPr>
                <w:strike/>
              </w:rPr>
            </w:pPr>
          </w:p>
        </w:tc>
        <w:tc>
          <w:tcPr>
            <w:tcW w:w="1111" w:type="pct"/>
            <w:shd w:val="clear" w:color="auto" w:fill="auto"/>
            <w:tcMar>
              <w:top w:w="0" w:type="dxa"/>
              <w:left w:w="108" w:type="dxa"/>
              <w:bottom w:w="0" w:type="dxa"/>
              <w:right w:w="108" w:type="dxa"/>
            </w:tcMar>
            <w:vAlign w:val="center"/>
          </w:tcPr>
          <w:p w:rsidR="00775E00" w:rsidRPr="00B81D3D" w:rsidRDefault="00775E00" w:rsidP="00775E00">
            <w:pPr>
              <w:spacing w:before="120" w:after="120"/>
              <w:rPr>
                <w:sz w:val="18"/>
                <w:szCs w:val="18"/>
              </w:rPr>
            </w:pPr>
            <w:r w:rsidRPr="00B81D3D">
              <w:rPr>
                <w:sz w:val="18"/>
                <w:szCs w:val="18"/>
              </w:rPr>
              <w:t xml:space="preserve">Numărul de reclamații privind erori la înregistrarea consumului </w:t>
            </w:r>
            <w:r w:rsidR="00691805">
              <w:rPr>
                <w:sz w:val="18"/>
                <w:szCs w:val="18"/>
              </w:rPr>
              <w:t>de energie electrică</w:t>
            </w:r>
          </w:p>
        </w:tc>
        <w:tc>
          <w:tcPr>
            <w:tcW w:w="960" w:type="pct"/>
            <w:shd w:val="clear" w:color="auto" w:fill="auto"/>
            <w:tcMar>
              <w:top w:w="0" w:type="dxa"/>
              <w:left w:w="108" w:type="dxa"/>
              <w:bottom w:w="0" w:type="dxa"/>
              <w:right w:w="108" w:type="dxa"/>
            </w:tcMar>
            <w:vAlign w:val="center"/>
          </w:tcPr>
          <w:p w:rsidR="00775E00" w:rsidRPr="00B640E4" w:rsidRDefault="00775E00" w:rsidP="00775E00">
            <w:pPr>
              <w:jc w:val="center"/>
              <w:rPr>
                <w:i/>
                <w:vertAlign w:val="subscript"/>
              </w:rPr>
            </w:pPr>
            <w:r w:rsidRPr="00B640E4">
              <w:rPr>
                <w:i/>
              </w:rPr>
              <w:t>nr</w:t>
            </w:r>
            <w:r w:rsidRPr="00B640E4">
              <w:rPr>
                <w:i/>
                <w:vertAlign w:val="subscript"/>
              </w:rPr>
              <w:t>reclÎn</w:t>
            </w:r>
            <w:r w:rsidR="00B44F16">
              <w:rPr>
                <w:i/>
                <w:vertAlign w:val="subscript"/>
              </w:rPr>
              <w:t>c</w:t>
            </w:r>
            <w:r w:rsidR="00103BE1">
              <w:rPr>
                <w:i/>
                <w:vertAlign w:val="subscript"/>
              </w:rPr>
              <w:t>LC</w:t>
            </w:r>
            <w:r w:rsidRPr="00B640E4">
              <w:rPr>
                <w:i/>
                <w:vertAlign w:val="subscript"/>
              </w:rPr>
              <w:t>SMI</w:t>
            </w:r>
          </w:p>
        </w:tc>
        <w:tc>
          <w:tcPr>
            <w:tcW w:w="403" w:type="pct"/>
          </w:tcPr>
          <w:p w:rsidR="00775E00" w:rsidRPr="00B640E4" w:rsidRDefault="00775E00" w:rsidP="00775E00">
            <w:pPr>
              <w:rPr>
                <w:i/>
              </w:rPr>
            </w:pPr>
          </w:p>
        </w:tc>
        <w:tc>
          <w:tcPr>
            <w:tcW w:w="1533" w:type="pct"/>
            <w:shd w:val="clear" w:color="auto" w:fill="auto"/>
            <w:tcMar>
              <w:top w:w="0" w:type="dxa"/>
              <w:left w:w="108" w:type="dxa"/>
              <w:bottom w:w="0" w:type="dxa"/>
              <w:right w:w="108" w:type="dxa"/>
            </w:tcMar>
            <w:vAlign w:val="center"/>
          </w:tcPr>
          <w:p w:rsidR="00775E00" w:rsidRPr="008403A7" w:rsidRDefault="00775E00" w:rsidP="00775E00">
            <w:pPr>
              <w:rPr>
                <w:sz w:val="20"/>
                <w:szCs w:val="20"/>
              </w:rPr>
            </w:pPr>
            <w:r w:rsidRPr="00B640E4">
              <w:rPr>
                <w:i/>
              </w:rPr>
              <w:t>nr</w:t>
            </w:r>
            <w:r w:rsidRPr="00B640E4">
              <w:rPr>
                <w:i/>
                <w:vertAlign w:val="subscript"/>
              </w:rPr>
              <w:t>reclÎn</w:t>
            </w:r>
            <w:r w:rsidR="00B44F16">
              <w:rPr>
                <w:i/>
                <w:vertAlign w:val="subscript"/>
              </w:rPr>
              <w:t>c</w:t>
            </w:r>
            <w:r w:rsidR="00103BE1">
              <w:rPr>
                <w:i/>
                <w:vertAlign w:val="subscript"/>
              </w:rPr>
              <w:t>LC</w:t>
            </w:r>
            <w:r w:rsidRPr="00B640E4">
              <w:rPr>
                <w:i/>
                <w:vertAlign w:val="subscript"/>
              </w:rPr>
              <w:t>SMI</w:t>
            </w:r>
            <w:r>
              <w:rPr>
                <w:i/>
                <w:vertAlign w:val="subscript"/>
              </w:rPr>
              <w:t xml:space="preserve"> </w:t>
            </w:r>
            <w:r>
              <w:rPr>
                <w:vertAlign w:val="subscript"/>
              </w:rPr>
              <w:t xml:space="preserve">– </w:t>
            </w:r>
            <w:r w:rsidRPr="00AF42DA">
              <w:rPr>
                <w:sz w:val="18"/>
                <w:szCs w:val="18"/>
              </w:rPr>
              <w:t xml:space="preserve">numărul total de reclamații privind erori </w:t>
            </w:r>
            <w:r w:rsidR="003D1C54">
              <w:rPr>
                <w:sz w:val="18"/>
                <w:szCs w:val="18"/>
              </w:rPr>
              <w:t xml:space="preserve">de </w:t>
            </w:r>
            <w:r w:rsidRPr="00AF42DA">
              <w:rPr>
                <w:sz w:val="18"/>
                <w:szCs w:val="18"/>
              </w:rPr>
              <w:t xml:space="preserve"> înregistrare</w:t>
            </w:r>
            <w:r w:rsidR="003D1C54">
              <w:rPr>
                <w:sz w:val="18"/>
                <w:szCs w:val="18"/>
              </w:rPr>
              <w:t xml:space="preserve"> </w:t>
            </w:r>
            <w:r w:rsidRPr="00AF42DA">
              <w:rPr>
                <w:sz w:val="18"/>
                <w:szCs w:val="18"/>
              </w:rPr>
              <w:t>a consumului</w:t>
            </w:r>
            <w:r w:rsidR="00691805">
              <w:rPr>
                <w:sz w:val="18"/>
                <w:szCs w:val="18"/>
              </w:rPr>
              <w:t xml:space="preserve"> de energie electrică</w:t>
            </w:r>
            <w:r w:rsidRPr="00AF42DA">
              <w:rPr>
                <w:sz w:val="18"/>
                <w:szCs w:val="18"/>
              </w:rPr>
              <w:t xml:space="preserve"> formulate în cursul anului de raportare de către utilizatorii </w:t>
            </w:r>
            <w:r w:rsidR="00103BE1" w:rsidRPr="00AF42DA">
              <w:rPr>
                <w:sz w:val="18"/>
                <w:szCs w:val="18"/>
              </w:rPr>
              <w:t xml:space="preserve">ale căror locuri de </w:t>
            </w:r>
            <w:r w:rsidR="009137F6">
              <w:rPr>
                <w:sz w:val="18"/>
                <w:szCs w:val="18"/>
              </w:rPr>
              <w:t>consum/de producere</w:t>
            </w:r>
            <w:r w:rsidR="00103BE1" w:rsidRPr="00AF42DA">
              <w:rPr>
                <w:sz w:val="18"/>
                <w:szCs w:val="18"/>
              </w:rPr>
              <w:t xml:space="preserve"> și consum sunt i</w:t>
            </w:r>
            <w:r w:rsidRPr="00AF42DA">
              <w:rPr>
                <w:sz w:val="18"/>
                <w:szCs w:val="18"/>
              </w:rPr>
              <w:t>ntegra</w:t>
            </w:r>
            <w:r w:rsidR="00103BE1" w:rsidRPr="00AF42DA">
              <w:rPr>
                <w:sz w:val="18"/>
                <w:szCs w:val="18"/>
              </w:rPr>
              <w:t>te</w:t>
            </w:r>
            <w:r w:rsidRPr="00AF42DA">
              <w:rPr>
                <w:sz w:val="18"/>
                <w:szCs w:val="18"/>
              </w:rPr>
              <w:t xml:space="preserve"> în SMI</w:t>
            </w:r>
            <w:r w:rsidR="003D1C54">
              <w:rPr>
                <w:sz w:val="18"/>
                <w:szCs w:val="18"/>
              </w:rPr>
              <w:t xml:space="preserve"> până la sfârșitul perioadei de raportare</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p>
        </w:tc>
      </w:tr>
      <w:tr w:rsidR="009F0AF1" w:rsidRPr="00773D40" w:rsidTr="006D02E3">
        <w:trPr>
          <w:trHeight w:val="1357"/>
        </w:trPr>
        <w:tc>
          <w:tcPr>
            <w:tcW w:w="253" w:type="pct"/>
            <w:shd w:val="clear" w:color="auto" w:fill="auto"/>
            <w:tcMar>
              <w:top w:w="0" w:type="dxa"/>
              <w:left w:w="108" w:type="dxa"/>
              <w:bottom w:w="0" w:type="dxa"/>
              <w:right w:w="108" w:type="dxa"/>
            </w:tcMar>
            <w:vAlign w:val="center"/>
          </w:tcPr>
          <w:p w:rsidR="00775E00" w:rsidRPr="00B640E4" w:rsidRDefault="00775E00" w:rsidP="00775E00">
            <w:pPr>
              <w:numPr>
                <w:ilvl w:val="0"/>
                <w:numId w:val="30"/>
              </w:numPr>
              <w:suppressAutoHyphens/>
              <w:autoSpaceDN w:val="0"/>
              <w:spacing w:before="120" w:after="280" w:line="247" w:lineRule="auto"/>
              <w:ind w:left="176" w:hanging="218"/>
              <w:jc w:val="center"/>
              <w:textAlignment w:val="baseline"/>
              <w:rPr>
                <w:strike/>
              </w:rPr>
            </w:pPr>
          </w:p>
        </w:tc>
        <w:tc>
          <w:tcPr>
            <w:tcW w:w="1111" w:type="pct"/>
            <w:shd w:val="clear" w:color="auto" w:fill="auto"/>
            <w:tcMar>
              <w:top w:w="0" w:type="dxa"/>
              <w:left w:w="108" w:type="dxa"/>
              <w:bottom w:w="0" w:type="dxa"/>
              <w:right w:w="108" w:type="dxa"/>
            </w:tcMar>
            <w:vAlign w:val="center"/>
          </w:tcPr>
          <w:p w:rsidR="00775E00" w:rsidRPr="00B81D3D" w:rsidRDefault="00775E00" w:rsidP="00775E00">
            <w:pPr>
              <w:spacing w:before="120" w:after="120"/>
              <w:rPr>
                <w:sz w:val="18"/>
                <w:szCs w:val="18"/>
                <w:vertAlign w:val="subscript"/>
              </w:rPr>
            </w:pPr>
            <w:r w:rsidRPr="00B81D3D">
              <w:rPr>
                <w:sz w:val="18"/>
                <w:szCs w:val="18"/>
              </w:rPr>
              <w:t xml:space="preserve">Numărul de </w:t>
            </w:r>
            <w:r w:rsidR="00103BE1">
              <w:rPr>
                <w:sz w:val="18"/>
                <w:szCs w:val="18"/>
              </w:rPr>
              <w:t xml:space="preserve">locuri de </w:t>
            </w:r>
            <w:r w:rsidR="009137F6">
              <w:rPr>
                <w:sz w:val="18"/>
                <w:szCs w:val="18"/>
              </w:rPr>
              <w:t>consum/de producere</w:t>
            </w:r>
            <w:r w:rsidR="00103BE1">
              <w:rPr>
                <w:sz w:val="18"/>
                <w:szCs w:val="18"/>
              </w:rPr>
              <w:t xml:space="preserve"> și consum</w:t>
            </w:r>
            <w:r w:rsidRPr="00B81D3D">
              <w:rPr>
                <w:sz w:val="18"/>
                <w:szCs w:val="18"/>
              </w:rPr>
              <w:t xml:space="preserve"> integra</w:t>
            </w:r>
            <w:r w:rsidR="00103BE1">
              <w:rPr>
                <w:sz w:val="18"/>
                <w:szCs w:val="18"/>
              </w:rPr>
              <w:t>te</w:t>
            </w:r>
            <w:r w:rsidRPr="00B81D3D">
              <w:rPr>
                <w:sz w:val="18"/>
                <w:szCs w:val="18"/>
              </w:rPr>
              <w:t xml:space="preserve"> în SMI din zona de concesiune</w:t>
            </w:r>
            <w:r w:rsidR="00103BE1">
              <w:rPr>
                <w:sz w:val="18"/>
                <w:szCs w:val="18"/>
              </w:rPr>
              <w:t xml:space="preserve"> pentru</w:t>
            </w:r>
            <w:r w:rsidRPr="00B81D3D">
              <w:rPr>
                <w:sz w:val="18"/>
                <w:szCs w:val="18"/>
              </w:rPr>
              <w:t xml:space="preserve"> care </w:t>
            </w:r>
            <w:r w:rsidR="00103BE1">
              <w:rPr>
                <w:sz w:val="18"/>
                <w:szCs w:val="18"/>
              </w:rPr>
              <w:t>s-</w:t>
            </w:r>
            <w:r w:rsidRPr="00B81D3D">
              <w:rPr>
                <w:sz w:val="18"/>
                <w:szCs w:val="18"/>
              </w:rPr>
              <w:t xml:space="preserve">a solicitat schimbarea furnizorului în perioada de raportare </w:t>
            </w:r>
          </w:p>
        </w:tc>
        <w:tc>
          <w:tcPr>
            <w:tcW w:w="960" w:type="pct"/>
            <w:shd w:val="clear" w:color="auto" w:fill="auto"/>
            <w:tcMar>
              <w:top w:w="0" w:type="dxa"/>
              <w:left w:w="108" w:type="dxa"/>
              <w:bottom w:w="0" w:type="dxa"/>
              <w:right w:w="108" w:type="dxa"/>
            </w:tcMar>
            <w:vAlign w:val="center"/>
          </w:tcPr>
          <w:p w:rsidR="00775E00" w:rsidRPr="00B640E4" w:rsidRDefault="00775E00" w:rsidP="00775E00">
            <w:pPr>
              <w:jc w:val="center"/>
            </w:pPr>
            <w:r w:rsidRPr="00B640E4">
              <w:rPr>
                <w:i/>
              </w:rPr>
              <w:t>nr</w:t>
            </w:r>
            <w:r w:rsidR="00103BE1" w:rsidRPr="00103BE1">
              <w:rPr>
                <w:i/>
                <w:vertAlign w:val="subscript"/>
              </w:rPr>
              <w:t>LC</w:t>
            </w:r>
            <w:r w:rsidRPr="00B640E4">
              <w:rPr>
                <w:i/>
                <w:vertAlign w:val="subscript"/>
              </w:rPr>
              <w:t>SchF</w:t>
            </w:r>
          </w:p>
        </w:tc>
        <w:tc>
          <w:tcPr>
            <w:tcW w:w="403" w:type="pct"/>
          </w:tcPr>
          <w:p w:rsidR="00775E00" w:rsidRPr="00B640E4" w:rsidRDefault="00775E00" w:rsidP="00775E00">
            <w:pPr>
              <w:rPr>
                <w:i/>
              </w:rPr>
            </w:pPr>
          </w:p>
        </w:tc>
        <w:tc>
          <w:tcPr>
            <w:tcW w:w="1533" w:type="pct"/>
            <w:shd w:val="clear" w:color="auto" w:fill="auto"/>
            <w:tcMar>
              <w:top w:w="0" w:type="dxa"/>
              <w:left w:w="108" w:type="dxa"/>
              <w:bottom w:w="0" w:type="dxa"/>
              <w:right w:w="108" w:type="dxa"/>
            </w:tcMar>
            <w:vAlign w:val="center"/>
          </w:tcPr>
          <w:p w:rsidR="00775E00" w:rsidRPr="008403A7" w:rsidRDefault="00775E00" w:rsidP="00775E00">
            <w:pPr>
              <w:rPr>
                <w:sz w:val="20"/>
                <w:szCs w:val="20"/>
              </w:rPr>
            </w:pPr>
            <w:r w:rsidRPr="00B640E4">
              <w:rPr>
                <w:i/>
              </w:rPr>
              <w:t>nr</w:t>
            </w:r>
            <w:r w:rsidR="00103BE1" w:rsidRPr="00103BE1">
              <w:rPr>
                <w:i/>
                <w:vertAlign w:val="subscript"/>
              </w:rPr>
              <w:t>LC</w:t>
            </w:r>
            <w:r w:rsidRPr="00B640E4">
              <w:rPr>
                <w:i/>
                <w:vertAlign w:val="subscript"/>
              </w:rPr>
              <w:t>SchF</w:t>
            </w:r>
            <w:r>
              <w:rPr>
                <w:i/>
              </w:rPr>
              <w:t xml:space="preserve"> </w:t>
            </w:r>
            <w:r>
              <w:t xml:space="preserve">– </w:t>
            </w:r>
            <w:r w:rsidRPr="00AF42DA">
              <w:rPr>
                <w:sz w:val="18"/>
                <w:szCs w:val="18"/>
              </w:rPr>
              <w:t xml:space="preserve">numărul total de </w:t>
            </w:r>
            <w:r w:rsidR="00103BE1" w:rsidRPr="00AF42DA">
              <w:rPr>
                <w:sz w:val="18"/>
                <w:szCs w:val="18"/>
              </w:rPr>
              <w:t xml:space="preserve">locuri de </w:t>
            </w:r>
            <w:r w:rsidR="009137F6">
              <w:rPr>
                <w:sz w:val="18"/>
                <w:szCs w:val="18"/>
              </w:rPr>
              <w:t>consum/de producere</w:t>
            </w:r>
            <w:r w:rsidR="00103BE1" w:rsidRPr="00AF42DA">
              <w:rPr>
                <w:sz w:val="18"/>
                <w:szCs w:val="18"/>
              </w:rPr>
              <w:t xml:space="preserve"> și consum</w:t>
            </w:r>
            <w:r w:rsidRPr="00AF42DA">
              <w:rPr>
                <w:sz w:val="18"/>
                <w:szCs w:val="18"/>
              </w:rPr>
              <w:t xml:space="preserve"> integra</w:t>
            </w:r>
            <w:r w:rsidR="00103BE1" w:rsidRPr="00AF42DA">
              <w:rPr>
                <w:sz w:val="18"/>
                <w:szCs w:val="18"/>
              </w:rPr>
              <w:t>te</w:t>
            </w:r>
            <w:r w:rsidRPr="00AF42DA">
              <w:rPr>
                <w:sz w:val="18"/>
                <w:szCs w:val="18"/>
              </w:rPr>
              <w:t xml:space="preserve"> în SMI </w:t>
            </w:r>
            <w:r w:rsidR="003D1C54">
              <w:rPr>
                <w:sz w:val="18"/>
                <w:szCs w:val="18"/>
              </w:rPr>
              <w:t xml:space="preserve">până la sfârșitul perioadei de raportare, </w:t>
            </w:r>
            <w:r w:rsidR="00103BE1" w:rsidRPr="00AF42DA">
              <w:rPr>
                <w:sz w:val="18"/>
                <w:szCs w:val="18"/>
              </w:rPr>
              <w:t xml:space="preserve">pentru </w:t>
            </w:r>
            <w:r w:rsidRPr="00AF42DA">
              <w:rPr>
                <w:sz w:val="18"/>
                <w:szCs w:val="18"/>
              </w:rPr>
              <w:t xml:space="preserve">care </w:t>
            </w:r>
            <w:r w:rsidR="00103BE1" w:rsidRPr="00AF42DA">
              <w:rPr>
                <w:sz w:val="18"/>
                <w:szCs w:val="18"/>
              </w:rPr>
              <w:t>s-</w:t>
            </w:r>
            <w:r w:rsidRPr="00AF42DA">
              <w:rPr>
                <w:sz w:val="18"/>
                <w:szCs w:val="18"/>
              </w:rPr>
              <w:t>a solicitat schimbarea furnizorului în cusul anului de raportare</w:t>
            </w:r>
          </w:p>
        </w:tc>
        <w:tc>
          <w:tcPr>
            <w:tcW w:w="740" w:type="pct"/>
            <w:shd w:val="clear" w:color="auto" w:fill="auto"/>
            <w:tcMar>
              <w:top w:w="0" w:type="dxa"/>
              <w:left w:w="108" w:type="dxa"/>
              <w:bottom w:w="0" w:type="dxa"/>
              <w:right w:w="108" w:type="dxa"/>
            </w:tcMar>
            <w:vAlign w:val="center"/>
          </w:tcPr>
          <w:p w:rsidR="00775E00" w:rsidRPr="006D02E3" w:rsidRDefault="00775E00" w:rsidP="00775E00">
            <w:pPr>
              <w:rPr>
                <w:sz w:val="16"/>
                <w:szCs w:val="16"/>
              </w:rPr>
            </w:pPr>
            <w:r w:rsidRPr="006D02E3">
              <w:rPr>
                <w:sz w:val="16"/>
                <w:szCs w:val="16"/>
              </w:rPr>
              <w:t>Raportarea se transmite anual</w:t>
            </w:r>
          </w:p>
        </w:tc>
      </w:tr>
    </w:tbl>
    <w:p w:rsidR="00B81D3D" w:rsidRDefault="00B81D3D" w:rsidP="004D66AA">
      <w:pPr>
        <w:ind w:right="-283"/>
        <w:jc w:val="both"/>
        <w:rPr>
          <w:rFonts w:eastAsia="Calibri"/>
          <w:sz w:val="20"/>
          <w:szCs w:val="20"/>
        </w:rPr>
      </w:pPr>
    </w:p>
    <w:p w:rsidR="00FD130D" w:rsidRDefault="00FD130D">
      <w:pPr>
        <w:rPr>
          <w:rFonts w:eastAsia="Calibri"/>
          <w:b/>
        </w:rPr>
      </w:pPr>
      <w:r>
        <w:rPr>
          <w:rFonts w:eastAsia="Calibri"/>
          <w:b/>
        </w:rPr>
        <w:br w:type="page"/>
      </w:r>
    </w:p>
    <w:p w:rsidR="005E17CB" w:rsidRPr="009F0AF1" w:rsidRDefault="004D66AA" w:rsidP="00FD130D">
      <w:pPr>
        <w:spacing w:after="120"/>
        <w:ind w:right="-1"/>
        <w:jc w:val="right"/>
        <w:rPr>
          <w:rFonts w:eastAsia="Calibri"/>
          <w:b/>
        </w:rPr>
      </w:pPr>
      <w:r w:rsidRPr="007D5DBA">
        <w:rPr>
          <w:rFonts w:eastAsia="Calibri"/>
          <w:b/>
        </w:rPr>
        <w:lastRenderedPageBreak/>
        <w:t>Tabelul nr. 2</w:t>
      </w:r>
    </w:p>
    <w:tbl>
      <w:tblPr>
        <w:tblW w:w="5002" w:type="pct"/>
        <w:jc w:val="center"/>
        <w:tblCellMar>
          <w:left w:w="10" w:type="dxa"/>
          <w:right w:w="10" w:type="dxa"/>
        </w:tblCellMar>
        <w:tblLook w:val="04A0" w:firstRow="1" w:lastRow="0" w:firstColumn="1" w:lastColumn="0" w:noHBand="0" w:noVBand="1"/>
      </w:tblPr>
      <w:tblGrid>
        <w:gridCol w:w="4880"/>
        <w:gridCol w:w="2001"/>
        <w:gridCol w:w="6438"/>
      </w:tblGrid>
      <w:tr w:rsidR="007D5DBA" w:rsidRPr="004D66AA" w:rsidTr="00FD130D">
        <w:trPr>
          <w:trHeight w:val="429"/>
          <w:tblHeader/>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4D66AA" w:rsidRDefault="005E17CB" w:rsidP="009F0AF1">
            <w:pPr>
              <w:suppressAutoHyphens/>
              <w:ind w:left="40"/>
              <w:jc w:val="center"/>
              <w:textAlignment w:val="baseline"/>
              <w:rPr>
                <w:rFonts w:eastAsia="Calibri"/>
                <w:b/>
              </w:rPr>
            </w:pPr>
            <w:r w:rsidRPr="004D66AA">
              <w:rPr>
                <w:rFonts w:eastAsia="Calibri"/>
                <w:b/>
              </w:rPr>
              <w:t xml:space="preserve">Denumire </w:t>
            </w:r>
            <w:r w:rsidR="004D66AA" w:rsidRPr="004D66AA">
              <w:rPr>
                <w:rFonts w:eastAsia="Calibri"/>
                <w:b/>
              </w:rPr>
              <w:t>termen</w:t>
            </w:r>
            <w:r w:rsidR="007D5DBA">
              <w:rPr>
                <w:rFonts w:eastAsia="Calibri"/>
                <w:b/>
              </w:rPr>
              <w:t>i</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4D66AA" w:rsidRDefault="004D66AA" w:rsidP="009F0AF1">
            <w:pPr>
              <w:suppressAutoHyphens/>
              <w:ind w:left="217"/>
              <w:jc w:val="center"/>
              <w:textAlignment w:val="baseline"/>
              <w:rPr>
                <w:rFonts w:eastAsia="Times New Roman"/>
                <w:b/>
              </w:rPr>
            </w:pPr>
            <w:r w:rsidRPr="004D66AA">
              <w:rPr>
                <w:rFonts w:eastAsia="Times New Roman"/>
                <w:b/>
              </w:rPr>
              <w:t>Valoare</w:t>
            </w: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4D66AA" w:rsidRDefault="004D66AA" w:rsidP="009F0AF1">
            <w:pPr>
              <w:suppressAutoHyphens/>
              <w:ind w:left="217"/>
              <w:jc w:val="center"/>
              <w:textAlignment w:val="baseline"/>
              <w:rPr>
                <w:rFonts w:eastAsia="Times New Roman"/>
                <w:b/>
              </w:rPr>
            </w:pPr>
            <w:r w:rsidRPr="004D66AA">
              <w:rPr>
                <w:b/>
              </w:rPr>
              <w:t>Explicație termeni</w:t>
            </w:r>
          </w:p>
        </w:tc>
      </w:tr>
      <w:tr w:rsidR="007D5DBA" w:rsidRPr="00B640E4" w:rsidTr="00FD130D">
        <w:trPr>
          <w:trHeight w:val="429"/>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4D66AA" w:rsidRDefault="00BE141B" w:rsidP="009F0AF1">
            <w:pPr>
              <w:suppressAutoHyphens/>
              <w:ind w:left="111"/>
              <w:jc w:val="both"/>
              <w:textAlignment w:val="baseline"/>
              <w:rPr>
                <w:rFonts w:ascii="Cambria Math" w:hAnsi="Cambria Math"/>
                <w:sz w:val="22"/>
                <w:szCs w:val="22"/>
              </w:rPr>
            </w:pPr>
            <m:oMath>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TLCSMI</m:t>
                  </m:r>
                </m:sub>
              </m:sSub>
            </m:oMath>
            <w:r w:rsidR="005E17CB" w:rsidRPr="004D66AA">
              <w:rPr>
                <w:rFonts w:ascii="Cambria Math" w:hAnsi="Cambria Math"/>
                <w:sz w:val="22"/>
                <w:szCs w:val="22"/>
              </w:rPr>
              <w:t xml:space="preserve"> </w:t>
            </w:r>
            <w:r w:rsidR="005E17CB" w:rsidRPr="003E18FF">
              <w:rPr>
                <w:rFonts w:ascii="Cambria Math" w:hAnsi="Cambria Math"/>
                <w:sz w:val="18"/>
                <w:szCs w:val="18"/>
              </w:rPr>
              <w:t>din care</w:t>
            </w:r>
            <w:r w:rsidR="005E17CB" w:rsidRPr="004D66AA">
              <w:rPr>
                <w:rFonts w:ascii="Cambria Math" w:hAnsi="Cambria Math"/>
                <w:sz w:val="22"/>
                <w:szCs w:val="22"/>
              </w:rPr>
              <w:t>:</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textAlignment w:val="baseline"/>
              <w:rPr>
                <w:rFonts w:eastAsia="Times New Roman"/>
                <w:sz w:val="20"/>
                <w:szCs w:val="20"/>
              </w:rPr>
            </w:pP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B640E4" w:rsidRDefault="00BE141B" w:rsidP="009F0AF1">
            <w:pPr>
              <w:suppressAutoHyphens/>
              <w:ind w:left="217"/>
              <w:textAlignment w:val="baseline"/>
              <w:rPr>
                <w:rFonts w:eastAsia="Times New Roman"/>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TuSMI</m:t>
                  </m:r>
                </m:sub>
              </m:sSub>
            </m:oMath>
            <w:r w:rsidR="004D66AA" w:rsidRPr="004D66AA">
              <w:rPr>
                <w:rFonts w:ascii="Cambria Math" w:hAnsi="Cambria Math"/>
                <w:sz w:val="20"/>
                <w:szCs w:val="20"/>
              </w:rPr>
              <w:t xml:space="preserve"> - </w:t>
            </w:r>
            <w:r w:rsidR="004D66AA" w:rsidRPr="003E18FF">
              <w:rPr>
                <w:rFonts w:ascii="Cambria Math" w:hAnsi="Cambria Math"/>
                <w:sz w:val="18"/>
                <w:szCs w:val="18"/>
              </w:rPr>
              <w:t xml:space="preserve">numărul total de </w:t>
            </w:r>
            <w:r w:rsidR="00103BE1" w:rsidRPr="003E18FF">
              <w:rPr>
                <w:sz w:val="18"/>
                <w:szCs w:val="18"/>
              </w:rPr>
              <w:t xml:space="preserve">locuri de </w:t>
            </w:r>
            <w:r w:rsidR="009137F6">
              <w:rPr>
                <w:sz w:val="18"/>
                <w:szCs w:val="18"/>
              </w:rPr>
              <w:t>consum/de producere</w:t>
            </w:r>
            <w:r w:rsidR="00103BE1" w:rsidRPr="003E18FF">
              <w:rPr>
                <w:sz w:val="18"/>
                <w:szCs w:val="18"/>
              </w:rPr>
              <w:t xml:space="preserve"> și consum</w:t>
            </w:r>
            <w:r w:rsidR="004D66AA" w:rsidRPr="003E18FF">
              <w:rPr>
                <w:rFonts w:ascii="Cambria Math" w:hAnsi="Cambria Math"/>
                <w:sz w:val="18"/>
                <w:szCs w:val="18"/>
              </w:rPr>
              <w:t xml:space="preserve"> integra</w:t>
            </w:r>
            <w:r w:rsidR="00103BE1" w:rsidRPr="003E18FF">
              <w:rPr>
                <w:rFonts w:ascii="Cambria Math" w:hAnsi="Cambria Math"/>
                <w:sz w:val="18"/>
                <w:szCs w:val="18"/>
              </w:rPr>
              <w:t>te</w:t>
            </w:r>
            <w:r w:rsidR="004D66AA" w:rsidRPr="003E18FF">
              <w:rPr>
                <w:rFonts w:ascii="Cambria Math" w:hAnsi="Cambria Math"/>
                <w:sz w:val="18"/>
                <w:szCs w:val="18"/>
              </w:rPr>
              <w:t xml:space="preserve"> în SMI până la sfârșitul </w:t>
            </w:r>
            <w:r w:rsidR="00FA58F0">
              <w:rPr>
                <w:rFonts w:ascii="Cambria Math" w:hAnsi="Cambria Math"/>
                <w:sz w:val="18"/>
                <w:szCs w:val="18"/>
              </w:rPr>
              <w:t>perioadei</w:t>
            </w:r>
            <w:r w:rsidR="004D66AA" w:rsidRPr="003E18FF">
              <w:rPr>
                <w:rFonts w:ascii="Cambria Math" w:hAnsi="Cambria Math"/>
                <w:sz w:val="18"/>
                <w:szCs w:val="18"/>
              </w:rPr>
              <w:t xml:space="preserve"> de raportare din zonele de implementare planificate conform calendarului aprobat și din afara zonelor de implementare, integra</w:t>
            </w:r>
            <w:r w:rsidR="00103BE1" w:rsidRPr="003E18FF">
              <w:rPr>
                <w:rFonts w:ascii="Cambria Math" w:hAnsi="Cambria Math"/>
                <w:sz w:val="18"/>
                <w:szCs w:val="18"/>
              </w:rPr>
              <w:t>te</w:t>
            </w:r>
            <w:r w:rsidR="004D66AA" w:rsidRPr="003E18FF">
              <w:rPr>
                <w:rFonts w:ascii="Cambria Math" w:hAnsi="Cambria Math"/>
                <w:sz w:val="18"/>
                <w:szCs w:val="18"/>
              </w:rPr>
              <w:t xml:space="preserve"> în SMI în condițiile art. 66 alin. (3) lit. a) din Legea 123/2012 cu modificările și completările ulterioare</w:t>
            </w:r>
            <w:r w:rsidR="00483322" w:rsidRPr="003E18FF">
              <w:rPr>
                <w:rFonts w:ascii="Cambria Math" w:hAnsi="Cambria Math"/>
                <w:sz w:val="18"/>
                <w:szCs w:val="18"/>
              </w:rPr>
              <w:t xml:space="preserve">, ale </w:t>
            </w:r>
            <w:r w:rsidR="00BE46D8">
              <w:rPr>
                <w:rFonts w:ascii="Cambria Math" w:hAnsi="Cambria Math"/>
                <w:sz w:val="18"/>
                <w:szCs w:val="18"/>
              </w:rPr>
              <w:t>art. 20</w:t>
            </w:r>
            <w:r w:rsidR="004D66AA" w:rsidRPr="003E18FF">
              <w:rPr>
                <w:rFonts w:ascii="Cambria Math" w:hAnsi="Cambria Math"/>
                <w:sz w:val="18"/>
                <w:szCs w:val="18"/>
              </w:rPr>
              <w:t xml:space="preserve"> și ale art. 21 din condițiile</w:t>
            </w:r>
            <w:r w:rsidR="00B44F16">
              <w:rPr>
                <w:rFonts w:ascii="Cambria Math" w:hAnsi="Cambria Math"/>
                <w:sz w:val="18"/>
                <w:szCs w:val="18"/>
              </w:rPr>
              <w:t xml:space="preserve"> </w:t>
            </w:r>
            <w:r w:rsidR="004D66AA" w:rsidRPr="003E18FF">
              <w:rPr>
                <w:rFonts w:ascii="Cambria Math" w:hAnsi="Cambria Math"/>
                <w:sz w:val="18"/>
                <w:szCs w:val="18"/>
              </w:rPr>
              <w:t>-</w:t>
            </w:r>
            <w:r w:rsidR="00B44F16">
              <w:rPr>
                <w:rFonts w:ascii="Cambria Math" w:hAnsi="Cambria Math"/>
                <w:sz w:val="18"/>
                <w:szCs w:val="18"/>
              </w:rPr>
              <w:t xml:space="preserve"> </w:t>
            </w:r>
            <w:r w:rsidR="004D66AA" w:rsidRPr="003E18FF">
              <w:rPr>
                <w:rFonts w:ascii="Cambria Math" w:hAnsi="Cambria Math"/>
                <w:sz w:val="18"/>
                <w:szCs w:val="18"/>
              </w:rPr>
              <w:t>cadru pentru implementarea SMI aprobate prin Ordinul președintelui ANRE nr. 177/2019 cu modificările și completările ulterioare (inclusiv utilizatorii integrați în faza proiectelor pilot – 2014 – 2018), total general și pe categorii așa cu este specificat în notă</w:t>
            </w:r>
          </w:p>
        </w:tc>
      </w:tr>
      <w:tr w:rsidR="007D5DBA" w:rsidRPr="00B640E4" w:rsidTr="00FD130D">
        <w:trPr>
          <w:trHeight w:val="305"/>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zonele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textAlignment w:val="baseline"/>
              <w:rPr>
                <w:rFonts w:eastAsia="Times New Roman"/>
                <w:sz w:val="20"/>
                <w:szCs w:val="20"/>
              </w:rPr>
            </w:pP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B640E4" w:rsidRDefault="005E17CB" w:rsidP="009F0AF1">
            <w:pPr>
              <w:suppressAutoHyphens/>
              <w:ind w:left="217"/>
              <w:jc w:val="right"/>
              <w:textAlignment w:val="baseline"/>
              <w:rPr>
                <w:rFonts w:eastAsia="Times New Roman"/>
                <w:sz w:val="20"/>
                <w:szCs w:val="20"/>
              </w:rPr>
            </w:pPr>
          </w:p>
        </w:tc>
      </w:tr>
      <w:tr w:rsidR="007D5DBA" w:rsidRPr="00B640E4" w:rsidTr="00FD130D">
        <w:trPr>
          <w:trHeight w:val="311"/>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afara zonelor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textAlignment w:val="baseline"/>
              <w:rPr>
                <w:rFonts w:eastAsia="Times New Roman"/>
                <w:sz w:val="20"/>
                <w:szCs w:val="20"/>
              </w:rPr>
            </w:pP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B640E4" w:rsidRDefault="005E17CB" w:rsidP="009F0AF1">
            <w:pPr>
              <w:suppressAutoHyphens/>
              <w:ind w:left="217"/>
              <w:jc w:val="right"/>
              <w:textAlignment w:val="baseline"/>
              <w:rPr>
                <w:rFonts w:eastAsia="Times New Roman"/>
                <w:sz w:val="20"/>
                <w:szCs w:val="20"/>
              </w:rPr>
            </w:pPr>
          </w:p>
        </w:tc>
      </w:tr>
      <w:tr w:rsidR="007D5DBA" w:rsidRPr="00B640E4" w:rsidTr="00FD130D">
        <w:trPr>
          <w:trHeight w:val="427"/>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4D66AA" w:rsidRDefault="00BE141B" w:rsidP="009F0AF1">
            <w:pPr>
              <w:suppressAutoHyphens/>
              <w:ind w:left="111"/>
              <w:jc w:val="both"/>
              <w:textAlignment w:val="baseline"/>
              <w:rPr>
                <w:rFonts w:ascii="Cambria Math" w:hAnsi="Cambria Math"/>
                <w:sz w:val="22"/>
                <w:szCs w:val="22"/>
              </w:rPr>
            </w:pPr>
            <m:oMath>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LCcSMI</m:t>
                  </m:r>
                </m:sub>
              </m:sSub>
            </m:oMath>
            <w:r w:rsidR="005E17CB" w:rsidRPr="004D66AA">
              <w:rPr>
                <w:rFonts w:ascii="Cambria Math" w:hAnsi="Cambria Math"/>
                <w:sz w:val="22"/>
                <w:szCs w:val="22"/>
              </w:rPr>
              <w:t xml:space="preserve"> </w:t>
            </w:r>
            <w:r w:rsidR="005E17CB" w:rsidRPr="003E18FF">
              <w:rPr>
                <w:rFonts w:ascii="Cambria Math" w:hAnsi="Cambria Math"/>
                <w:sz w:val="18"/>
                <w:szCs w:val="18"/>
              </w:rPr>
              <w:t>din care: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textAlignment w:val="baseline"/>
              <w:rPr>
                <w:rFonts w:eastAsia="Times New Roman"/>
                <w:sz w:val="20"/>
                <w:szCs w:val="20"/>
              </w:rPr>
            </w:pP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4D66AA" w:rsidRDefault="00BE141B" w:rsidP="009F0AF1">
            <w:pPr>
              <w:suppressAutoHyphens/>
              <w:ind w:left="217"/>
              <w:textAlignment w:val="baseline"/>
              <w:rPr>
                <w:rFonts w:ascii="Cambria Math" w:hAnsi="Cambria Math"/>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LCcSMI</m:t>
                  </m:r>
                </m:sub>
              </m:sSub>
            </m:oMath>
            <w:r w:rsidR="004D66AA" w:rsidRPr="004D66AA">
              <w:rPr>
                <w:rFonts w:ascii="Cambria Math" w:hAnsi="Cambria Math"/>
                <w:sz w:val="20"/>
                <w:szCs w:val="20"/>
              </w:rPr>
              <w:t xml:space="preserve"> – </w:t>
            </w:r>
            <w:r w:rsidR="004D66AA" w:rsidRPr="003E18FF">
              <w:rPr>
                <w:sz w:val="18"/>
                <w:szCs w:val="18"/>
              </w:rPr>
              <w:t xml:space="preserve">Numărul de </w:t>
            </w:r>
            <w:r w:rsidR="00251F48" w:rsidRPr="003E18FF">
              <w:rPr>
                <w:sz w:val="18"/>
                <w:szCs w:val="18"/>
              </w:rPr>
              <w:t xml:space="preserve">locuri de </w:t>
            </w:r>
            <w:r w:rsidR="009137F6">
              <w:rPr>
                <w:sz w:val="18"/>
                <w:szCs w:val="18"/>
              </w:rPr>
              <w:t>consum/de producere</w:t>
            </w:r>
            <w:r w:rsidR="00251F48" w:rsidRPr="003E18FF">
              <w:rPr>
                <w:sz w:val="18"/>
                <w:szCs w:val="18"/>
              </w:rPr>
              <w:t xml:space="preserve"> și consum care aparțin </w:t>
            </w:r>
            <w:r w:rsidR="000161A7" w:rsidRPr="003E18FF">
              <w:rPr>
                <w:sz w:val="18"/>
                <w:szCs w:val="18"/>
              </w:rPr>
              <w:t>clienților finali</w:t>
            </w:r>
            <w:r w:rsidR="004D66AA" w:rsidRPr="003E18FF">
              <w:rPr>
                <w:sz w:val="18"/>
                <w:szCs w:val="18"/>
              </w:rPr>
              <w:t xml:space="preserve"> casnici </w:t>
            </w:r>
            <w:r w:rsidR="00251F48" w:rsidRPr="003E18FF">
              <w:rPr>
                <w:sz w:val="18"/>
                <w:szCs w:val="18"/>
              </w:rPr>
              <w:t xml:space="preserve">integrate în SMI </w:t>
            </w:r>
            <w:r w:rsidR="004D66AA" w:rsidRPr="003E18FF">
              <w:rPr>
                <w:sz w:val="18"/>
                <w:szCs w:val="18"/>
              </w:rPr>
              <w:t xml:space="preserve">până la sfârșitul </w:t>
            </w:r>
            <w:r w:rsidR="00FA58F0">
              <w:rPr>
                <w:sz w:val="18"/>
                <w:szCs w:val="18"/>
              </w:rPr>
              <w:t>perioadei</w:t>
            </w:r>
            <w:r w:rsidR="004D66AA" w:rsidRPr="003E18FF">
              <w:rPr>
                <w:sz w:val="18"/>
                <w:szCs w:val="18"/>
              </w:rPr>
              <w:t xml:space="preserve"> de raportare</w:t>
            </w:r>
          </w:p>
        </w:tc>
      </w:tr>
      <w:tr w:rsidR="007D5DBA" w:rsidRPr="00B640E4" w:rsidTr="00FD130D">
        <w:trPr>
          <w:trHeight w:val="225"/>
          <w:jc w:val="center"/>
        </w:trPr>
        <w:tc>
          <w:tcPr>
            <w:tcW w:w="1832" w:type="pct"/>
            <w:tcBorders>
              <w:top w:val="single" w:sz="4" w:space="0" w:color="000000"/>
              <w:left w:val="single" w:sz="4" w:space="0" w:color="000000"/>
              <w:bottom w:val="single" w:sz="4" w:space="0" w:color="000000"/>
              <w:right w:val="single" w:sz="4" w:space="0" w:color="000000"/>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zonele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textAlignment w:val="baseline"/>
              <w:rPr>
                <w:rFonts w:eastAsia="Times New Roman"/>
                <w:sz w:val="20"/>
                <w:szCs w:val="20"/>
              </w:rPr>
            </w:pPr>
          </w:p>
        </w:tc>
        <w:tc>
          <w:tcPr>
            <w:tcW w:w="2417" w:type="pct"/>
            <w:tcBorders>
              <w:top w:val="single" w:sz="4" w:space="0" w:color="auto"/>
              <w:left w:val="single" w:sz="4" w:space="0" w:color="auto"/>
              <w:bottom w:val="single" w:sz="4" w:space="0" w:color="auto"/>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RPr="00B640E4" w:rsidTr="00FD130D">
        <w:trPr>
          <w:trHeight w:val="360"/>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afara zonelor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Pr="00B640E4" w:rsidRDefault="005E17CB" w:rsidP="009F0AF1">
            <w:pPr>
              <w:suppressAutoHyphens/>
              <w:ind w:left="217"/>
              <w:jc w:val="right"/>
              <w:textAlignment w:val="baseline"/>
              <w:rPr>
                <w:rFonts w:eastAsia="Times New Roman"/>
                <w:sz w:val="20"/>
                <w:szCs w:val="20"/>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Tr="00FD130D">
        <w:trPr>
          <w:trHeight w:val="122"/>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4D66AA" w:rsidRDefault="00BE141B" w:rsidP="009F0AF1">
            <w:pPr>
              <w:suppressAutoHyphens/>
              <w:ind w:left="111"/>
              <w:jc w:val="both"/>
              <w:textAlignment w:val="baseline"/>
              <w:rPr>
                <w:rFonts w:ascii="Cambria Math" w:hAnsi="Cambria Math"/>
                <w:sz w:val="22"/>
                <w:szCs w:val="22"/>
              </w:rPr>
            </w:pPr>
            <m:oMath>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LCncSMI</m:t>
                  </m:r>
                </m:sub>
              </m:sSub>
            </m:oMath>
            <w:r w:rsidR="005E17CB" w:rsidRPr="004D66AA">
              <w:rPr>
                <w:rFonts w:ascii="Cambria Math" w:hAnsi="Cambria Math"/>
                <w:sz w:val="22"/>
                <w:szCs w:val="22"/>
              </w:rPr>
              <w:t xml:space="preserve"> </w:t>
            </w:r>
            <w:r w:rsidR="005E17CB" w:rsidRPr="003E18FF">
              <w:rPr>
                <w:rFonts w:ascii="Cambria Math" w:hAnsi="Cambria Math"/>
                <w:sz w:val="18"/>
                <w:szCs w:val="18"/>
              </w:rPr>
              <w:t>din care: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BE141B" w:rsidP="009F0AF1">
            <w:pPr>
              <w:suppressAutoHyphens/>
              <w:ind w:left="217"/>
              <w:textAlignment w:val="baseline"/>
              <w:rPr>
                <w:rFonts w:ascii="Cambria Math" w:hAnsi="Cambria Math"/>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LCncSMI</m:t>
                  </m:r>
                </m:sub>
              </m:sSub>
            </m:oMath>
            <w:r w:rsidR="004D66AA" w:rsidRPr="004D66AA">
              <w:rPr>
                <w:rFonts w:ascii="Cambria Math" w:hAnsi="Cambria Math"/>
                <w:sz w:val="20"/>
                <w:szCs w:val="20"/>
              </w:rPr>
              <w:t xml:space="preserve"> - </w:t>
            </w:r>
            <w:r w:rsidR="004D66AA" w:rsidRPr="003E18FF">
              <w:rPr>
                <w:sz w:val="18"/>
                <w:szCs w:val="18"/>
              </w:rPr>
              <w:t xml:space="preserve">Numărul de </w:t>
            </w:r>
            <w:r w:rsidR="00251F48" w:rsidRPr="003E18FF">
              <w:rPr>
                <w:sz w:val="18"/>
                <w:szCs w:val="18"/>
              </w:rPr>
              <w:t xml:space="preserve">locuri de </w:t>
            </w:r>
            <w:r w:rsidR="009137F6">
              <w:rPr>
                <w:sz w:val="18"/>
                <w:szCs w:val="18"/>
              </w:rPr>
              <w:t>consum/de producere</w:t>
            </w:r>
            <w:r w:rsidR="00251F48" w:rsidRPr="003E18FF">
              <w:rPr>
                <w:sz w:val="18"/>
                <w:szCs w:val="18"/>
              </w:rPr>
              <w:t xml:space="preserve"> și consum care aparțin </w:t>
            </w:r>
            <w:r w:rsidR="000161A7" w:rsidRPr="003E18FF">
              <w:rPr>
                <w:sz w:val="18"/>
                <w:szCs w:val="18"/>
              </w:rPr>
              <w:t>clienților finali</w:t>
            </w:r>
            <w:r w:rsidR="004D66AA" w:rsidRPr="003E18FF">
              <w:rPr>
                <w:sz w:val="18"/>
                <w:szCs w:val="18"/>
              </w:rPr>
              <w:t xml:space="preserve"> noncasnici integra</w:t>
            </w:r>
            <w:r w:rsidR="00251F48" w:rsidRPr="003E18FF">
              <w:rPr>
                <w:sz w:val="18"/>
                <w:szCs w:val="18"/>
              </w:rPr>
              <w:t>te</w:t>
            </w:r>
            <w:r w:rsidR="004D66AA" w:rsidRPr="003E18FF">
              <w:rPr>
                <w:sz w:val="18"/>
                <w:szCs w:val="18"/>
              </w:rPr>
              <w:t xml:space="preserve"> în SMI până la sfârșitul </w:t>
            </w:r>
            <w:r w:rsidR="00D8597D">
              <w:rPr>
                <w:sz w:val="18"/>
                <w:szCs w:val="18"/>
              </w:rPr>
              <w:t>perioadei</w:t>
            </w:r>
            <w:r w:rsidR="004D66AA" w:rsidRPr="003E18FF">
              <w:rPr>
                <w:sz w:val="18"/>
                <w:szCs w:val="18"/>
              </w:rPr>
              <w:t xml:space="preserve"> de raportare</w:t>
            </w:r>
          </w:p>
        </w:tc>
      </w:tr>
      <w:tr w:rsidR="007D5DBA" w:rsidTr="00FD130D">
        <w:trPr>
          <w:trHeight w:val="259"/>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zonele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Tr="00FD130D">
        <w:trPr>
          <w:trHeight w:val="279"/>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afara zonelor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Tr="00FD130D">
        <w:trPr>
          <w:trHeight w:val="545"/>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4D66AA" w:rsidRDefault="00BE141B" w:rsidP="009F0AF1">
            <w:pPr>
              <w:suppressAutoHyphens/>
              <w:ind w:left="111"/>
              <w:jc w:val="both"/>
              <w:textAlignment w:val="baseline"/>
              <w:rPr>
                <w:rFonts w:ascii="Cambria Math" w:hAnsi="Cambria Math"/>
                <w:sz w:val="22"/>
                <w:szCs w:val="22"/>
              </w:rPr>
            </w:pPr>
            <m:oMath>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LCprosSMI</m:t>
                  </m:r>
                </m:sub>
              </m:sSub>
            </m:oMath>
            <w:r w:rsidR="005E17CB" w:rsidRPr="004D66AA">
              <w:rPr>
                <w:rFonts w:ascii="Cambria Math" w:hAnsi="Cambria Math"/>
                <w:sz w:val="22"/>
                <w:szCs w:val="22"/>
              </w:rPr>
              <w:t xml:space="preserve"> </w:t>
            </w:r>
            <w:r w:rsidR="005E17CB" w:rsidRPr="003E18FF">
              <w:rPr>
                <w:rFonts w:ascii="Cambria Math" w:hAnsi="Cambria Math"/>
                <w:sz w:val="18"/>
                <w:szCs w:val="18"/>
              </w:rPr>
              <w:t>din care: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BE141B" w:rsidP="009F0AF1">
            <w:pPr>
              <w:suppressAutoHyphens/>
              <w:ind w:left="217"/>
              <w:textAlignment w:val="baseline"/>
              <w:rPr>
                <w:rFonts w:ascii="Cambria Math" w:hAnsi="Cambria Math"/>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LCprosSMI</m:t>
                  </m:r>
                </m:sub>
              </m:sSub>
            </m:oMath>
            <w:r w:rsidR="004D66AA" w:rsidRPr="004D66AA">
              <w:rPr>
                <w:rFonts w:ascii="Cambria Math" w:hAnsi="Cambria Math"/>
                <w:sz w:val="20"/>
                <w:szCs w:val="20"/>
              </w:rPr>
              <w:t xml:space="preserve"> – </w:t>
            </w:r>
            <w:r w:rsidR="004D66AA" w:rsidRPr="003E18FF">
              <w:rPr>
                <w:sz w:val="18"/>
                <w:szCs w:val="18"/>
              </w:rPr>
              <w:t xml:space="preserve">Numărul de </w:t>
            </w:r>
            <w:r w:rsidR="00251F48" w:rsidRPr="003E18FF">
              <w:rPr>
                <w:sz w:val="18"/>
                <w:szCs w:val="18"/>
              </w:rPr>
              <w:t xml:space="preserve">locuri de </w:t>
            </w:r>
            <w:r w:rsidR="009137F6">
              <w:rPr>
                <w:sz w:val="18"/>
                <w:szCs w:val="18"/>
              </w:rPr>
              <w:t>consum/de producere</w:t>
            </w:r>
            <w:r w:rsidR="00251F48" w:rsidRPr="003E18FF">
              <w:rPr>
                <w:sz w:val="18"/>
                <w:szCs w:val="18"/>
              </w:rPr>
              <w:t xml:space="preserve"> și consum care aparțin unor </w:t>
            </w:r>
            <w:r w:rsidR="004D66AA" w:rsidRPr="003E18FF">
              <w:rPr>
                <w:sz w:val="18"/>
                <w:szCs w:val="18"/>
              </w:rPr>
              <w:t>prosumatori integra</w:t>
            </w:r>
            <w:r w:rsidR="00251F48" w:rsidRPr="003E18FF">
              <w:rPr>
                <w:sz w:val="18"/>
                <w:szCs w:val="18"/>
              </w:rPr>
              <w:t>te</w:t>
            </w:r>
            <w:r w:rsidR="004D66AA" w:rsidRPr="003E18FF">
              <w:rPr>
                <w:sz w:val="18"/>
                <w:szCs w:val="18"/>
              </w:rPr>
              <w:t xml:space="preserve"> în SMI până la sfârșitul </w:t>
            </w:r>
            <w:r w:rsidR="00D8597D">
              <w:rPr>
                <w:sz w:val="18"/>
                <w:szCs w:val="18"/>
              </w:rPr>
              <w:t>perioadei</w:t>
            </w:r>
            <w:r w:rsidR="004D66AA" w:rsidRPr="003E18FF">
              <w:rPr>
                <w:sz w:val="18"/>
                <w:szCs w:val="18"/>
              </w:rPr>
              <w:t xml:space="preserve"> de raportare</w:t>
            </w:r>
          </w:p>
        </w:tc>
      </w:tr>
      <w:tr w:rsidR="007D5DBA" w:rsidTr="00FD130D">
        <w:trPr>
          <w:trHeight w:val="289"/>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zonele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Tr="00FD130D">
        <w:trPr>
          <w:trHeight w:val="124"/>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afara zonelor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217"/>
              <w:textAlignment w:val="baseline"/>
              <w:rPr>
                <w:rFonts w:ascii="Cambria Math" w:hAnsi="Cambria Math"/>
                <w:sz w:val="20"/>
                <w:szCs w:val="20"/>
              </w:rPr>
            </w:pPr>
          </w:p>
        </w:tc>
      </w:tr>
      <w:tr w:rsidR="007D5DBA" w:rsidTr="00FD130D">
        <w:trPr>
          <w:trHeight w:val="469"/>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4D66AA" w:rsidRDefault="005E17CB" w:rsidP="009F0AF1">
            <w:pPr>
              <w:suppressAutoHyphens/>
              <w:ind w:left="111"/>
              <w:jc w:val="both"/>
              <w:textAlignment w:val="baseline"/>
              <w:rPr>
                <w:rFonts w:ascii="Cambria Math" w:hAnsi="Cambria Math"/>
                <w:sz w:val="22"/>
                <w:szCs w:val="22"/>
              </w:rPr>
            </w:pPr>
            <w:r w:rsidRPr="004D66AA">
              <w:rPr>
                <w:rFonts w:ascii="Cambria Math" w:hAnsi="Cambria Math"/>
                <w:sz w:val="22"/>
                <w:szCs w:val="22"/>
              </w:rPr>
              <w:t xml:space="preserve"> </w:t>
            </w:r>
            <m:oMath>
              <m:sSub>
                <m:sSubPr>
                  <m:ctrlPr>
                    <w:rPr>
                      <w:rFonts w:ascii="Cambria Math" w:hAnsi="Cambria Math"/>
                      <w:sz w:val="22"/>
                      <w:szCs w:val="22"/>
                    </w:rPr>
                  </m:ctrlPr>
                </m:sSubPr>
                <m:e>
                  <m:r>
                    <m:rPr>
                      <m:sty m:val="bi"/>
                    </m:rPr>
                    <w:rPr>
                      <w:rFonts w:ascii="Cambria Math" w:hAnsi="Cambria Math"/>
                      <w:sz w:val="22"/>
                      <w:szCs w:val="22"/>
                    </w:rPr>
                    <m:t>n</m:t>
                  </m:r>
                </m:e>
                <m:sub>
                  <m:r>
                    <m:rPr>
                      <m:sty m:val="bi"/>
                    </m:rPr>
                    <w:rPr>
                      <w:rFonts w:ascii="Cambria Math" w:hAnsi="Cambria Math"/>
                      <w:sz w:val="22"/>
                      <w:szCs w:val="22"/>
                    </w:rPr>
                    <m:t>LCprodSMI</m:t>
                  </m:r>
                </m:sub>
              </m:sSub>
            </m:oMath>
            <w:r w:rsidRPr="004D66AA">
              <w:rPr>
                <w:rFonts w:ascii="Cambria Math" w:hAnsi="Cambria Math"/>
                <w:sz w:val="22"/>
                <w:szCs w:val="22"/>
              </w:rPr>
              <w:t xml:space="preserve"> </w:t>
            </w:r>
            <w:r w:rsidRPr="003E18FF">
              <w:rPr>
                <w:rFonts w:ascii="Cambria Math" w:hAnsi="Cambria Math"/>
                <w:sz w:val="18"/>
                <w:szCs w:val="18"/>
              </w:rPr>
              <w:t>din care: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Pr="004D66AA" w:rsidRDefault="00BE141B" w:rsidP="009F0AF1">
            <w:pPr>
              <w:suppressAutoHyphens/>
              <w:ind w:left="217"/>
              <w:textAlignment w:val="baseline"/>
              <w:rPr>
                <w:rFonts w:ascii="Cambria Math" w:hAnsi="Cambria Math"/>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LCprodSMI</m:t>
                  </m:r>
                </m:sub>
              </m:sSub>
            </m:oMath>
            <w:r w:rsidR="004D66AA" w:rsidRPr="004D66AA">
              <w:rPr>
                <w:rFonts w:ascii="Cambria Math" w:hAnsi="Cambria Math"/>
                <w:sz w:val="20"/>
                <w:szCs w:val="20"/>
              </w:rPr>
              <w:t xml:space="preserve"> - </w:t>
            </w:r>
            <w:r w:rsidR="004D66AA" w:rsidRPr="003E18FF">
              <w:rPr>
                <w:sz w:val="18"/>
                <w:szCs w:val="18"/>
              </w:rPr>
              <w:t xml:space="preserve">Numărul de </w:t>
            </w:r>
            <w:r w:rsidR="00251F48" w:rsidRPr="003E18FF">
              <w:rPr>
                <w:sz w:val="18"/>
                <w:szCs w:val="18"/>
              </w:rPr>
              <w:t xml:space="preserve">locuri de </w:t>
            </w:r>
            <w:r w:rsidR="009137F6">
              <w:rPr>
                <w:sz w:val="18"/>
                <w:szCs w:val="18"/>
              </w:rPr>
              <w:t>consum/de producere</w:t>
            </w:r>
            <w:r w:rsidR="00251F48" w:rsidRPr="003E18FF">
              <w:rPr>
                <w:sz w:val="18"/>
                <w:szCs w:val="18"/>
              </w:rPr>
              <w:t xml:space="preserve"> și consum care aparțin unor </w:t>
            </w:r>
            <w:r w:rsidR="004D66AA" w:rsidRPr="003E18FF">
              <w:rPr>
                <w:sz w:val="18"/>
                <w:szCs w:val="18"/>
              </w:rPr>
              <w:t>producători integra</w:t>
            </w:r>
            <w:r w:rsidR="00251F48" w:rsidRPr="003E18FF">
              <w:rPr>
                <w:sz w:val="18"/>
                <w:szCs w:val="18"/>
              </w:rPr>
              <w:t>te</w:t>
            </w:r>
            <w:r w:rsidR="004D66AA" w:rsidRPr="003E18FF">
              <w:rPr>
                <w:sz w:val="18"/>
                <w:szCs w:val="18"/>
              </w:rPr>
              <w:t xml:space="preserve"> în SMI până la sfârșitul </w:t>
            </w:r>
            <w:r w:rsidR="00D8597D">
              <w:rPr>
                <w:sz w:val="18"/>
                <w:szCs w:val="18"/>
              </w:rPr>
              <w:t>perioadei</w:t>
            </w:r>
            <w:r w:rsidR="004D66AA" w:rsidRPr="003E18FF">
              <w:rPr>
                <w:sz w:val="18"/>
                <w:szCs w:val="18"/>
              </w:rPr>
              <w:t xml:space="preserve"> de raportare</w:t>
            </w:r>
          </w:p>
        </w:tc>
      </w:tr>
      <w:tr w:rsidR="007D5DBA" w:rsidTr="00FD130D">
        <w:trPr>
          <w:trHeight w:val="219"/>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ascii="Cambria Math" w:hAnsi="Cambria Math"/>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zonele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r>
      <w:tr w:rsidR="007D5DBA" w:rsidTr="00FD130D">
        <w:trPr>
          <w:trHeight w:val="361"/>
          <w:jc w:val="center"/>
        </w:trPr>
        <w:tc>
          <w:tcPr>
            <w:tcW w:w="1832" w:type="pct"/>
            <w:tcBorders>
              <w:top w:val="single" w:sz="4" w:space="0" w:color="000000"/>
              <w:left w:val="single" w:sz="4" w:space="0" w:color="000000"/>
              <w:bottom w:val="single" w:sz="4" w:space="0" w:color="000000"/>
              <w:right w:val="single" w:sz="4" w:space="0" w:color="auto"/>
            </w:tcBorders>
            <w:vAlign w:val="center"/>
          </w:tcPr>
          <w:p w:rsidR="005E17CB" w:rsidRPr="003E18FF" w:rsidRDefault="005E17CB" w:rsidP="009F0AF1">
            <w:pPr>
              <w:suppressAutoHyphens/>
              <w:ind w:left="111"/>
              <w:jc w:val="both"/>
              <w:textAlignment w:val="baseline"/>
              <w:rPr>
                <w:rFonts w:eastAsia="Calibri"/>
                <w:sz w:val="18"/>
                <w:szCs w:val="18"/>
              </w:rPr>
            </w:pPr>
            <w:r w:rsidRPr="003E18FF">
              <w:rPr>
                <w:rFonts w:ascii="Cambria Math" w:hAnsi="Cambria Math"/>
                <w:sz w:val="18"/>
                <w:szCs w:val="18"/>
              </w:rPr>
              <w:t xml:space="preserve">- </w:t>
            </w:r>
            <w:r w:rsidR="009F0AF1" w:rsidRPr="003E18FF">
              <w:rPr>
                <w:rFonts w:ascii="Cambria Math" w:hAnsi="Cambria Math"/>
                <w:sz w:val="18"/>
                <w:szCs w:val="18"/>
              </w:rPr>
              <w:t xml:space="preserve">în </w:t>
            </w:r>
            <w:r w:rsidRPr="003E18FF">
              <w:rPr>
                <w:rFonts w:ascii="Cambria Math" w:hAnsi="Cambria Math"/>
                <w:sz w:val="18"/>
                <w:szCs w:val="18"/>
              </w:rPr>
              <w:t>afara zonelor de implementare planificate</w:t>
            </w:r>
          </w:p>
        </w:tc>
        <w:tc>
          <w:tcPr>
            <w:tcW w:w="751"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c>
          <w:tcPr>
            <w:tcW w:w="2417" w:type="pct"/>
            <w:tcBorders>
              <w:top w:val="single" w:sz="4" w:space="0" w:color="000000"/>
              <w:left w:val="single" w:sz="4" w:space="0" w:color="000000"/>
              <w:bottom w:val="single" w:sz="4" w:space="0" w:color="000000"/>
              <w:right w:val="single" w:sz="4" w:space="0" w:color="auto"/>
            </w:tcBorders>
            <w:vAlign w:val="center"/>
          </w:tcPr>
          <w:p w:rsidR="005E17CB" w:rsidRDefault="005E17CB" w:rsidP="009F0AF1">
            <w:pPr>
              <w:suppressAutoHyphens/>
              <w:ind w:left="217"/>
              <w:jc w:val="right"/>
              <w:textAlignment w:val="baseline"/>
              <w:rPr>
                <w:rFonts w:eastAsia="Calibri"/>
                <w:sz w:val="22"/>
                <w:szCs w:val="22"/>
              </w:rPr>
            </w:pPr>
          </w:p>
        </w:tc>
      </w:tr>
    </w:tbl>
    <w:p w:rsidR="005E17CB" w:rsidRDefault="005E17CB" w:rsidP="004D66AA">
      <w:pPr>
        <w:ind w:left="-284" w:right="-283"/>
        <w:rPr>
          <w:rFonts w:eastAsia="Calibri"/>
          <w:sz w:val="20"/>
          <w:szCs w:val="20"/>
        </w:rPr>
        <w:sectPr w:rsidR="005E17CB" w:rsidSect="00802B02">
          <w:pgSz w:w="15840" w:h="12240" w:orient="landscape"/>
          <w:pgMar w:top="709" w:right="1098" w:bottom="851" w:left="1418" w:header="0" w:footer="259" w:gutter="0"/>
          <w:cols w:space="708"/>
          <w:noEndnote/>
          <w:docGrid w:linePitch="360"/>
        </w:sectPr>
      </w:pPr>
    </w:p>
    <w:p w:rsidR="00B640E4" w:rsidRPr="000B15C9" w:rsidRDefault="00B640E4" w:rsidP="00B640E4">
      <w:pPr>
        <w:keepNext/>
        <w:keepLines/>
        <w:suppressAutoHyphens/>
        <w:autoSpaceDN w:val="0"/>
        <w:spacing w:before="120"/>
        <w:jc w:val="right"/>
        <w:textAlignment w:val="baseline"/>
        <w:outlineLvl w:val="0"/>
        <w:rPr>
          <w:rFonts w:eastAsiaTheme="majorEastAsia" w:cstheme="majorBidi"/>
          <w:b/>
        </w:rPr>
      </w:pPr>
      <w:r w:rsidRPr="000B15C9">
        <w:rPr>
          <w:rFonts w:eastAsiaTheme="majorEastAsia" w:cstheme="majorBidi"/>
          <w:b/>
        </w:rPr>
        <w:lastRenderedPageBreak/>
        <w:t xml:space="preserve">Anexa </w:t>
      </w:r>
      <w:r w:rsidR="0085178B">
        <w:rPr>
          <w:rFonts w:eastAsiaTheme="majorEastAsia" w:cstheme="majorBidi"/>
          <w:b/>
        </w:rPr>
        <w:t>nr. 2</w:t>
      </w:r>
    </w:p>
    <w:p w:rsidR="00B640E4" w:rsidRPr="000B15C9" w:rsidRDefault="00B640E4" w:rsidP="00B640E4">
      <w:pPr>
        <w:keepNext/>
        <w:keepLines/>
        <w:suppressAutoHyphens/>
        <w:autoSpaceDN w:val="0"/>
        <w:spacing w:before="120"/>
        <w:jc w:val="right"/>
        <w:textAlignment w:val="baseline"/>
        <w:outlineLvl w:val="0"/>
        <w:rPr>
          <w:rFonts w:eastAsiaTheme="majorEastAsia" w:cstheme="majorBidi"/>
          <w:b/>
        </w:rPr>
      </w:pPr>
      <w:r w:rsidRPr="000B15C9">
        <w:rPr>
          <w:rFonts w:eastAsiaTheme="majorEastAsia" w:cstheme="majorBidi"/>
          <w:b/>
        </w:rPr>
        <w:t xml:space="preserve">(Anexa nr. </w:t>
      </w:r>
      <w:r>
        <w:rPr>
          <w:rFonts w:eastAsiaTheme="majorEastAsia" w:cstheme="majorBidi"/>
          <w:b/>
        </w:rPr>
        <w:t>4</w:t>
      </w:r>
      <w:r w:rsidRPr="000B15C9">
        <w:rPr>
          <w:rFonts w:eastAsiaTheme="majorEastAsia" w:cstheme="majorBidi"/>
          <w:b/>
        </w:rPr>
        <w:t xml:space="preserve"> la Condițile</w:t>
      </w:r>
      <w:r w:rsidR="00F57881">
        <w:rPr>
          <w:rFonts w:eastAsiaTheme="majorEastAsia" w:cstheme="majorBidi"/>
          <w:b/>
        </w:rPr>
        <w:t xml:space="preserve"> </w:t>
      </w:r>
      <w:r w:rsidRPr="000B15C9">
        <w:rPr>
          <w:rFonts w:eastAsiaTheme="majorEastAsia" w:cstheme="majorBidi"/>
          <w:b/>
        </w:rPr>
        <w:t>-</w:t>
      </w:r>
      <w:r w:rsidR="00F57881">
        <w:rPr>
          <w:rFonts w:eastAsiaTheme="majorEastAsia" w:cstheme="majorBidi"/>
          <w:b/>
        </w:rPr>
        <w:t xml:space="preserve"> </w:t>
      </w:r>
      <w:r w:rsidRPr="000B15C9">
        <w:rPr>
          <w:rFonts w:eastAsiaTheme="majorEastAsia" w:cstheme="majorBidi"/>
          <w:b/>
        </w:rPr>
        <w:t xml:space="preserve">cadru) </w:t>
      </w:r>
    </w:p>
    <w:p w:rsidR="00B640E4" w:rsidRPr="00B640E4" w:rsidRDefault="00B640E4" w:rsidP="00B569EB">
      <w:pPr>
        <w:pStyle w:val="spar"/>
        <w:spacing w:before="120" w:line="360" w:lineRule="auto"/>
        <w:ind w:left="227"/>
        <w:jc w:val="center"/>
        <w:rPr>
          <w:b/>
          <w:color w:val="000000"/>
          <w:shd w:val="clear" w:color="auto" w:fill="FFFFFF"/>
        </w:rPr>
      </w:pPr>
      <w:r w:rsidRPr="00B640E4">
        <w:rPr>
          <w:b/>
          <w:color w:val="000000"/>
          <w:shd w:val="clear" w:color="auto" w:fill="FFFFFF"/>
        </w:rPr>
        <w:t>Date tehnico-economice privind implementarea SMI în anul de raportare</w:t>
      </w:r>
    </w:p>
    <w:p w:rsidR="00B640E4" w:rsidRPr="004D7EF5" w:rsidRDefault="00B640E4" w:rsidP="00B640E4">
      <w:pPr>
        <w:pStyle w:val="spar"/>
        <w:spacing w:line="360" w:lineRule="auto"/>
        <w:jc w:val="both"/>
        <w:rPr>
          <w:color w:val="000000"/>
          <w:shd w:val="clear" w:color="auto" w:fill="FFFFFF"/>
        </w:rPr>
      </w:pPr>
      <w:r w:rsidRPr="004D7EF5">
        <w:rPr>
          <w:color w:val="000000"/>
          <w:shd w:val="clear" w:color="auto" w:fill="FFFFFF"/>
        </w:rPr>
        <w:t>Denumire operator de distribuţie concesionar al energiei electrice:</w:t>
      </w:r>
    </w:p>
    <w:p w:rsidR="00B640E4" w:rsidRDefault="00B640E4" w:rsidP="000A7B65">
      <w:pPr>
        <w:pStyle w:val="spar"/>
        <w:jc w:val="both"/>
        <w:rPr>
          <w:color w:val="000000"/>
          <w:shd w:val="clear" w:color="auto" w:fill="FFFFFF"/>
        </w:rPr>
      </w:pPr>
      <w:r w:rsidRPr="004D7EF5">
        <w:rPr>
          <w:color w:val="000000"/>
          <w:shd w:val="clear" w:color="auto" w:fill="FFFFFF"/>
        </w:rPr>
        <w:t>Anul de raportare:</w:t>
      </w:r>
    </w:p>
    <w:p w:rsidR="00B610BF" w:rsidRPr="00E35513" w:rsidRDefault="00E35513" w:rsidP="000A7B65">
      <w:pPr>
        <w:pStyle w:val="spar"/>
        <w:jc w:val="right"/>
        <w:rPr>
          <w:b/>
          <w:color w:val="000000"/>
          <w:shd w:val="clear" w:color="auto" w:fill="FFFFFF"/>
        </w:rPr>
      </w:pPr>
      <w:r w:rsidRPr="00E35513">
        <w:rPr>
          <w:b/>
          <w:color w:val="000000"/>
          <w:shd w:val="clear" w:color="auto" w:fill="FFFFFF"/>
        </w:rPr>
        <w:t>Tabelul nr. 1</w:t>
      </w:r>
    </w:p>
    <w:tbl>
      <w:tblPr>
        <w:tblW w:w="10198"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4A0" w:firstRow="1" w:lastRow="0" w:firstColumn="1" w:lastColumn="0" w:noHBand="0" w:noVBand="1"/>
      </w:tblPr>
      <w:tblGrid>
        <w:gridCol w:w="596"/>
        <w:gridCol w:w="6296"/>
        <w:gridCol w:w="487"/>
        <w:gridCol w:w="1118"/>
        <w:gridCol w:w="1701"/>
      </w:tblGrid>
      <w:tr w:rsidR="00DB6D24" w:rsidRPr="00B640E4" w:rsidTr="00FD130D">
        <w:trPr>
          <w:tblHeader/>
        </w:trPr>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4C61AD">
            <w:pPr>
              <w:jc w:val="center"/>
              <w:rPr>
                <w:rFonts w:eastAsia="Times New Roman"/>
                <w:b/>
                <w:color w:val="000000"/>
                <w:sz w:val="22"/>
                <w:szCs w:val="22"/>
              </w:rPr>
            </w:pPr>
            <w:r w:rsidRPr="00B640E4">
              <w:rPr>
                <w:rFonts w:eastAsia="Times New Roman"/>
                <w:b/>
                <w:color w:val="000000"/>
                <w:sz w:val="22"/>
                <w:szCs w:val="22"/>
              </w:rPr>
              <w:t>Nr. crt.</w:t>
            </w: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4C61AD">
            <w:pPr>
              <w:jc w:val="center"/>
              <w:rPr>
                <w:rFonts w:eastAsia="Times New Roman"/>
                <w:b/>
                <w:color w:val="000000"/>
                <w:sz w:val="22"/>
                <w:szCs w:val="22"/>
              </w:rPr>
            </w:pPr>
            <w:r w:rsidRPr="00B640E4">
              <w:rPr>
                <w:rFonts w:eastAsia="Times New Roman"/>
                <w:b/>
                <w:color w:val="000000"/>
                <w:sz w:val="22"/>
                <w:szCs w:val="22"/>
              </w:rPr>
              <w:t>Denumire indicator</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4C61AD">
            <w:pPr>
              <w:jc w:val="center"/>
              <w:rPr>
                <w:rFonts w:eastAsia="Times New Roman"/>
                <w:b/>
                <w:color w:val="000000"/>
                <w:sz w:val="22"/>
                <w:szCs w:val="22"/>
              </w:rPr>
            </w:pPr>
            <w:r w:rsidRPr="00B640E4">
              <w:rPr>
                <w:rFonts w:eastAsia="Times New Roman"/>
                <w:b/>
                <w:color w:val="000000"/>
                <w:sz w:val="22"/>
                <w:szCs w:val="22"/>
              </w:rPr>
              <w:t>UM</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4C61AD">
            <w:pPr>
              <w:jc w:val="center"/>
              <w:rPr>
                <w:rFonts w:eastAsia="Times New Roman"/>
                <w:b/>
                <w:color w:val="000000"/>
                <w:sz w:val="22"/>
                <w:szCs w:val="22"/>
              </w:rPr>
            </w:pPr>
            <w:r w:rsidRPr="00B640E4">
              <w:rPr>
                <w:rFonts w:eastAsia="Times New Roman"/>
                <w:b/>
                <w:color w:val="000000"/>
                <w:sz w:val="22"/>
                <w:szCs w:val="22"/>
              </w:rPr>
              <w:t>Valoare</w:t>
            </w: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4C61AD">
            <w:pPr>
              <w:jc w:val="center"/>
              <w:rPr>
                <w:rFonts w:eastAsia="Times New Roman"/>
                <w:b/>
                <w:color w:val="000000"/>
                <w:sz w:val="22"/>
                <w:szCs w:val="22"/>
              </w:rPr>
            </w:pPr>
            <w:r>
              <w:rPr>
                <w:rFonts w:eastAsia="Times New Roman"/>
                <w:b/>
                <w:color w:val="000000"/>
                <w:sz w:val="22"/>
                <w:szCs w:val="22"/>
              </w:rPr>
              <w:t>Observații</w:t>
            </w: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82"/>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7E0500">
            <w:pPr>
              <w:jc w:val="both"/>
              <w:rPr>
                <w:rFonts w:eastAsia="Times New Roman"/>
                <w:color w:val="000000"/>
                <w:sz w:val="20"/>
                <w:szCs w:val="20"/>
              </w:rPr>
            </w:pPr>
            <w:r w:rsidRPr="0083730F">
              <w:rPr>
                <w:rFonts w:eastAsia="Times New Roman"/>
                <w:color w:val="000000"/>
                <w:sz w:val="20"/>
                <w:szCs w:val="20"/>
              </w:rPr>
              <w:t xml:space="preserve">Numărul total de </w:t>
            </w:r>
            <w:r w:rsidRPr="0083730F">
              <w:rPr>
                <w:sz w:val="20"/>
                <w:szCs w:val="20"/>
              </w:rPr>
              <w:t xml:space="preserve">locuri de </w:t>
            </w:r>
            <w:r w:rsidR="009137F6">
              <w:rPr>
                <w:sz w:val="20"/>
                <w:szCs w:val="20"/>
              </w:rPr>
              <w:t>consum/de producere</w:t>
            </w:r>
            <w:r w:rsidRPr="0083730F">
              <w:rPr>
                <w:sz w:val="20"/>
                <w:szCs w:val="20"/>
              </w:rPr>
              <w:t xml:space="preserve"> și consum </w:t>
            </w:r>
            <w:r w:rsidR="00EA64FA">
              <w:rPr>
                <w:sz w:val="20"/>
                <w:szCs w:val="20"/>
              </w:rPr>
              <w:t>pe nivelul de joasă tensiune</w:t>
            </w:r>
            <w:r w:rsidR="009B3BBB">
              <w:rPr>
                <w:sz w:val="20"/>
                <w:szCs w:val="20"/>
              </w:rPr>
              <w:t xml:space="preserve"> </w:t>
            </w:r>
            <w:r w:rsidRPr="0083730F">
              <w:rPr>
                <w:rFonts w:eastAsia="Times New Roman"/>
                <w:color w:val="000000"/>
                <w:sz w:val="20"/>
                <w:szCs w:val="20"/>
              </w:rPr>
              <w:t>din zona de concesiune la sfârşitul anului de raportate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7E0500">
            <w:pPr>
              <w:jc w:val="both"/>
              <w:rPr>
                <w:rFonts w:eastAsia="Times New Roman"/>
                <w:color w:val="000000"/>
                <w:sz w:val="20"/>
                <w:szCs w:val="20"/>
              </w:rPr>
            </w:pPr>
            <w:r w:rsidRPr="0083730F">
              <w:rPr>
                <w:rFonts w:eastAsia="Times New Roman"/>
                <w:color w:val="000000"/>
                <w:sz w:val="20"/>
                <w:szCs w:val="20"/>
              </w:rPr>
              <w:t>Numărul de posturi de transformare/puncte de alimentare noi integrate în SMI în cursul anului de raportare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color w:val="000000"/>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0"/>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7E0500">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în cursul anului de raportare (3=4+5+6+7), din care: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rPr>
          <w:trHeight w:val="359"/>
        </w:trPr>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3.1</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645B6A">
            <w:pPr>
              <w:ind w:firstLine="257"/>
              <w:jc w:val="both"/>
              <w:rPr>
                <w:rFonts w:eastAsia="Times New Roman"/>
                <w:color w:val="000000"/>
                <w:sz w:val="20"/>
                <w:szCs w:val="20"/>
              </w:rPr>
            </w:pP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aflate în zonele planificate pentru integrare pentru anul de raportare conform calendarului aprobat</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rPr>
          <w:trHeight w:val="359"/>
        </w:trPr>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3.2</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645B6A">
            <w:pPr>
              <w:ind w:firstLine="257"/>
              <w:jc w:val="both"/>
              <w:rPr>
                <w:rFonts w:eastAsia="Times New Roman"/>
                <w:color w:val="000000"/>
                <w:sz w:val="20"/>
                <w:szCs w:val="20"/>
              </w:rPr>
            </w:pP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aflate în afara zonelor de implementare planificate din care: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rPr>
          <w:trHeight w:val="359"/>
        </w:trPr>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3.2.1</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7E0500">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conform prevederilor art. 66 alin (3) lit. a) din Legea nr. 123/2012, cu modificările și completările ulterioare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rPr>
          <w:trHeight w:val="359"/>
        </w:trPr>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3.2.2</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7E0500">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conform prevederilor art. 20 și art. 21 din condițiile</w:t>
            </w:r>
            <w:r w:rsidR="00B44F16">
              <w:rPr>
                <w:rFonts w:eastAsia="Times New Roman"/>
                <w:color w:val="000000"/>
                <w:sz w:val="20"/>
                <w:szCs w:val="20"/>
              </w:rPr>
              <w:t xml:space="preserve"> </w:t>
            </w:r>
            <w:r w:rsidRPr="0083730F">
              <w:rPr>
                <w:rFonts w:eastAsia="Times New Roman"/>
                <w:color w:val="000000"/>
                <w:sz w:val="20"/>
                <w:szCs w:val="20"/>
              </w:rPr>
              <w:t>-</w:t>
            </w:r>
            <w:r w:rsidR="00B44F16">
              <w:rPr>
                <w:rFonts w:eastAsia="Times New Roman"/>
                <w:color w:val="000000"/>
                <w:sz w:val="20"/>
                <w:szCs w:val="20"/>
              </w:rPr>
              <w:t xml:space="preserve"> </w:t>
            </w:r>
            <w:r w:rsidRPr="0083730F">
              <w:rPr>
                <w:rFonts w:eastAsia="Times New Roman"/>
                <w:color w:val="000000"/>
                <w:sz w:val="20"/>
                <w:szCs w:val="20"/>
              </w:rPr>
              <w:t>cadru aprobate prin ordinul președintelui ANRE nr. 177/2018, cu modificările și completările ulterioare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rPr>
          <w:trHeight w:val="359"/>
        </w:trPr>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253C13">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care aparțin unor clienţi finali casnici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253C13">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care aparțin unor clienţi finali noncasnici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253C13">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care aparțin unor prosumatori din care: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7E0500">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7E0500">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6.1</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care aparțin unor prosumatori aflați în zonele planificate pentru integrare pentru anul de raportare conform calendarului aprobat</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6.2</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care aparțin unor prosumatori aflați în afara zonelor de implementare planificate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253C13">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care aparțin unor producători din care: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2C6A94">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2C6A94">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7.1</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care aparțin unor producători aflați în zonele planificate pentru integrare pentru anul de raportare conform calendarului aprobat</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color w:val="000000"/>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tabs>
                <w:tab w:val="left" w:pos="361"/>
              </w:tabs>
              <w:suppressAutoHyphens/>
              <w:spacing w:line="247" w:lineRule="auto"/>
              <w:ind w:left="224" w:hanging="224"/>
              <w:contextualSpacing w:val="0"/>
              <w:textAlignment w:val="baseline"/>
              <w:rPr>
                <w:rFonts w:eastAsia="Times New Roman"/>
                <w:color w:val="000000"/>
              </w:rPr>
            </w:pPr>
            <w:r>
              <w:rPr>
                <w:rFonts w:eastAsia="Times New Roman"/>
                <w:color w:val="000000"/>
              </w:rPr>
              <w:t>7.2</w:t>
            </w: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 xml:space="preserve">          </w:t>
            </w:r>
            <w:r w:rsidRPr="0083730F">
              <w:rPr>
                <w:rFonts w:eastAsia="Times New Roman"/>
                <w:color w:val="000000"/>
                <w:sz w:val="20"/>
                <w:szCs w:val="20"/>
              </w:rPr>
              <w:sym w:font="Symbol" w:char="F0B7"/>
            </w:r>
            <w:r w:rsidRPr="0083730F">
              <w:rPr>
                <w:rFonts w:eastAsia="Times New Roman"/>
                <w:color w:val="000000"/>
                <w:sz w:val="20"/>
                <w:szCs w:val="20"/>
              </w:rPr>
              <w:t xml:space="preserv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care aparțin unor producători aflați în afara zonelor de implementare planificate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color w:val="000000"/>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36345E">
            <w:pPr>
              <w:pStyle w:val="ListParagraph"/>
              <w:numPr>
                <w:ilvl w:val="0"/>
                <w:numId w:val="31"/>
              </w:numPr>
              <w:tabs>
                <w:tab w:val="left" w:pos="361"/>
              </w:tabs>
              <w:suppressAutoHyphens/>
              <w:spacing w:line="247" w:lineRule="auto"/>
              <w:ind w:left="224" w:hanging="224"/>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Gradul de realizare a obligației de implementare a SMI pentru anul de raportare conform prevederilor calendarului de implementare aprobat (</w:t>
            </w:r>
            <w:r w:rsidR="00F665E6">
              <w:rPr>
                <w:rFonts w:eastAsia="Times New Roman"/>
                <w:color w:val="000000"/>
                <w:sz w:val="20"/>
                <w:szCs w:val="20"/>
              </w:rPr>
              <w:t xml:space="preserve">raportul dintre </w:t>
            </w:r>
            <w:r w:rsidRPr="0083730F">
              <w:rPr>
                <w:rFonts w:eastAsia="Times New Roman"/>
                <w:color w:val="000000"/>
                <w:sz w:val="20"/>
                <w:szCs w:val="20"/>
              </w:rPr>
              <w:t xml:space="preserve">nr.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integrate în SMI în cursul anului – poz. 3.1 din anexa nr. 4 la condițiile-cadru</w:t>
            </w:r>
            <w:r w:rsidR="00F665E6">
              <w:rPr>
                <w:rFonts w:eastAsia="Times New Roman"/>
                <w:color w:val="000000"/>
                <w:sz w:val="20"/>
                <w:szCs w:val="20"/>
              </w:rPr>
              <w:t xml:space="preserve"> și </w:t>
            </w:r>
            <w:r w:rsidRPr="0083730F">
              <w:rPr>
                <w:rFonts w:eastAsia="Times New Roman"/>
                <w:color w:val="000000"/>
                <w:sz w:val="20"/>
                <w:szCs w:val="20"/>
              </w:rPr>
              <w:t xml:space="preserve">nr.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noi integrate în SMI în an, aferent anului de </w:t>
            </w:r>
            <w:r w:rsidRPr="0083730F">
              <w:rPr>
                <w:rFonts w:eastAsia="Times New Roman"/>
                <w:color w:val="000000"/>
                <w:sz w:val="20"/>
                <w:szCs w:val="20"/>
              </w:rPr>
              <w:lastRenderedPageBreak/>
              <w:t>raportare, din anexa nr.1 tabelul nr. 1 din Decizia 778/2019, cu modificările și completările ulterioare)</w:t>
            </w:r>
          </w:p>
        </w:tc>
        <w:tc>
          <w:tcPr>
            <w:tcW w:w="487"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jc w:val="center"/>
              <w:rPr>
                <w:rFonts w:eastAsia="Times New Roman"/>
                <w:color w:val="000000"/>
                <w:sz w:val="22"/>
                <w:szCs w:val="22"/>
              </w:rPr>
            </w:pPr>
            <w:r w:rsidRPr="00B640E4">
              <w:rPr>
                <w:rFonts w:eastAsia="Times New Roman"/>
                <w:color w:val="000000"/>
                <w:sz w:val="22"/>
                <w:szCs w:val="22"/>
              </w:rPr>
              <w:lastRenderedPageBreak/>
              <w:t>%</w:t>
            </w:r>
          </w:p>
        </w:tc>
        <w:tc>
          <w:tcPr>
            <w:tcW w:w="1118" w:type="dxa"/>
            <w:tcBorders>
              <w:top w:val="single" w:sz="6" w:space="0" w:color="000000"/>
              <w:left w:val="single" w:sz="6" w:space="0" w:color="000000"/>
              <w:bottom w:val="single" w:sz="6" w:space="0" w:color="000000"/>
              <w:right w:val="single" w:sz="6" w:space="0" w:color="000000"/>
            </w:tcBorders>
            <w:vAlign w:val="center"/>
          </w:tcPr>
          <w:p w:rsidR="007D3DCC" w:rsidRPr="00B640E4" w:rsidRDefault="007D3DCC" w:rsidP="002C6A9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2C6A94">
            <w:pPr>
              <w:rPr>
                <w:rFonts w:eastAsia="Times New Roman"/>
                <w:color w:val="000000"/>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645B6A">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care se află în afara zonelor planificate conform calendarului de implementare a SMI aprobat, pentru care s-a solicitat integrarea în SMI în anul de raportare conform prevederilor art. 21</w:t>
            </w:r>
            <w:r w:rsidRPr="0083730F">
              <w:rPr>
                <w:sz w:val="20"/>
                <w:szCs w:val="20"/>
              </w:rPr>
              <w:t xml:space="preserve"> </w:t>
            </w:r>
            <w:r w:rsidRPr="0083730F">
              <w:rPr>
                <w:rFonts w:eastAsia="Times New Roman"/>
                <w:color w:val="000000"/>
                <w:sz w:val="20"/>
                <w:szCs w:val="20"/>
              </w:rPr>
              <w:t>din condițiile</w:t>
            </w:r>
            <w:r w:rsidR="0064223A">
              <w:rPr>
                <w:rFonts w:eastAsia="Times New Roman"/>
                <w:color w:val="000000"/>
                <w:sz w:val="20"/>
                <w:szCs w:val="20"/>
              </w:rPr>
              <w:t xml:space="preserve"> </w:t>
            </w:r>
            <w:r w:rsidRPr="0083730F">
              <w:rPr>
                <w:rFonts w:eastAsia="Times New Roman"/>
                <w:color w:val="000000"/>
                <w:sz w:val="20"/>
                <w:szCs w:val="20"/>
              </w:rPr>
              <w:t>-</w:t>
            </w:r>
            <w:r w:rsidR="0064223A">
              <w:rPr>
                <w:rFonts w:eastAsia="Times New Roman"/>
                <w:color w:val="000000"/>
                <w:sz w:val="20"/>
                <w:szCs w:val="20"/>
              </w:rPr>
              <w:t xml:space="preserve"> </w:t>
            </w:r>
            <w:r w:rsidRPr="0083730F">
              <w:rPr>
                <w:rFonts w:eastAsia="Times New Roman"/>
                <w:color w:val="000000"/>
                <w:sz w:val="20"/>
                <w:szCs w:val="20"/>
              </w:rPr>
              <w:t>cadru</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645B6A">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645B6A">
            <w:pPr>
              <w:jc w:val="both"/>
              <w:rPr>
                <w:rFonts w:eastAsia="Times New Roman"/>
                <w:color w:val="000000"/>
                <w:sz w:val="20"/>
                <w:szCs w:val="20"/>
              </w:rPr>
            </w:pPr>
            <w:r w:rsidRPr="0083730F">
              <w:rPr>
                <w:rFonts w:eastAsia="Times New Roman"/>
                <w:color w:val="000000"/>
                <w:sz w:val="20"/>
                <w:szCs w:val="20"/>
              </w:rPr>
              <w:t xml:space="preserve">Numărul de locuri de </w:t>
            </w:r>
            <w:r w:rsidR="009137F6">
              <w:rPr>
                <w:rFonts w:eastAsia="Times New Roman"/>
                <w:color w:val="000000"/>
                <w:sz w:val="20"/>
                <w:szCs w:val="20"/>
              </w:rPr>
              <w:t>consum/de producere</w:t>
            </w:r>
            <w:r w:rsidRPr="0083730F">
              <w:rPr>
                <w:rFonts w:eastAsia="Times New Roman"/>
                <w:color w:val="000000"/>
                <w:sz w:val="20"/>
                <w:szCs w:val="20"/>
              </w:rPr>
              <w:t xml:space="preserve"> și consum din zonele de implementare planificate conform calendarului în anul de raportare pentru care utilizatorii au refuzat integrarea în SMI</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jc w:val="center"/>
              <w:rPr>
                <w:rFonts w:eastAsia="Times New Roman"/>
                <w:color w:val="000000"/>
                <w:sz w:val="22"/>
                <w:szCs w:val="22"/>
              </w:rPr>
            </w:pP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645B6A">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7D3DCC" w:rsidRPr="00B640E4" w:rsidRDefault="007D3DCC" w:rsidP="00645B6A">
            <w:pPr>
              <w:rPr>
                <w:rFonts w:eastAsia="Times New Roman"/>
                <w:sz w:val="22"/>
                <w:szCs w:val="22"/>
              </w:rPr>
            </w:pPr>
          </w:p>
        </w:tc>
      </w:tr>
      <w:tr w:rsidR="00DB6D2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2C6A9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7D3DCC" w:rsidRPr="0083730F" w:rsidRDefault="007D3DCC" w:rsidP="002C6A94">
            <w:pPr>
              <w:jc w:val="both"/>
              <w:rPr>
                <w:rFonts w:eastAsia="Times New Roman"/>
                <w:color w:val="000000"/>
                <w:sz w:val="20"/>
                <w:szCs w:val="20"/>
              </w:rPr>
            </w:pPr>
            <w:r w:rsidRPr="0083730F">
              <w:rPr>
                <w:rFonts w:eastAsia="Times New Roman"/>
                <w:color w:val="000000"/>
                <w:sz w:val="20"/>
                <w:szCs w:val="20"/>
              </w:rPr>
              <w:t>Numărul de contoare SMI monofazate instalate în anul de raportare (integrate și neintegrate în SMI, instalate conform calendarului de implamentare a SMI aprobat, precum și în baza prevederilor art. 10, art. 20, art. 21</w:t>
            </w:r>
            <w:r w:rsidRPr="0083730F">
              <w:rPr>
                <w:sz w:val="20"/>
                <w:szCs w:val="20"/>
              </w:rPr>
              <w:t xml:space="preserve"> </w:t>
            </w:r>
            <w:r w:rsidRPr="0083730F">
              <w:rPr>
                <w:rFonts w:eastAsia="Times New Roman"/>
                <w:color w:val="000000"/>
                <w:sz w:val="20"/>
                <w:szCs w:val="20"/>
              </w:rPr>
              <w:t>din condițiile</w:t>
            </w:r>
            <w:r w:rsidR="0064223A">
              <w:rPr>
                <w:rFonts w:eastAsia="Times New Roman"/>
                <w:color w:val="000000"/>
                <w:sz w:val="20"/>
                <w:szCs w:val="20"/>
              </w:rPr>
              <w:t xml:space="preserve"> </w:t>
            </w:r>
            <w:r w:rsidRPr="0083730F">
              <w:rPr>
                <w:rFonts w:eastAsia="Times New Roman"/>
                <w:color w:val="000000"/>
                <w:sz w:val="20"/>
                <w:szCs w:val="20"/>
              </w:rPr>
              <w:t>-</w:t>
            </w:r>
            <w:r w:rsidR="0064223A">
              <w:rPr>
                <w:rFonts w:eastAsia="Times New Roman"/>
                <w:color w:val="000000"/>
                <w:sz w:val="20"/>
                <w:szCs w:val="20"/>
              </w:rPr>
              <w:t xml:space="preserve"> </w:t>
            </w:r>
            <w:r w:rsidRPr="0083730F">
              <w:rPr>
                <w:rFonts w:eastAsia="Times New Roman"/>
                <w:color w:val="000000"/>
                <w:sz w:val="20"/>
                <w:szCs w:val="20"/>
              </w:rPr>
              <w:t>cadru și ale art. 66 alin. (3) lit. a) din Legea nr. 123/2012, cu modificările și completările ulterioare)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2C6A9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7D3DCC" w:rsidRPr="00B640E4" w:rsidRDefault="007D3DCC" w:rsidP="002C6A9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D3DCC" w:rsidRPr="0064223A" w:rsidRDefault="00E70144" w:rsidP="00E70144">
            <w:pPr>
              <w:rPr>
                <w:rFonts w:eastAsia="Times New Roman"/>
                <w:color w:val="000000"/>
                <w:sz w:val="16"/>
                <w:szCs w:val="16"/>
              </w:rPr>
            </w:pPr>
            <w:r w:rsidRPr="0064223A">
              <w:rPr>
                <w:rFonts w:eastAsia="Times New Roman"/>
                <w:color w:val="000000"/>
                <w:sz w:val="16"/>
                <w:szCs w:val="16"/>
              </w:rPr>
              <w:t>v. Nota</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Numărul de contoare SMI trifazate instalate în anul de raportare (integrate și neintegrate în SMI, instalate conform calendarului de implamentare a SMI aprobat, precum și în baza prevederilor art. 10, art. 20, art. 21</w:t>
            </w:r>
            <w:r w:rsidRPr="0083730F">
              <w:rPr>
                <w:sz w:val="20"/>
                <w:szCs w:val="20"/>
              </w:rPr>
              <w:t xml:space="preserve"> </w:t>
            </w:r>
            <w:r w:rsidRPr="0083730F">
              <w:rPr>
                <w:rFonts w:eastAsia="Times New Roman"/>
                <w:color w:val="000000"/>
                <w:sz w:val="20"/>
                <w:szCs w:val="20"/>
              </w:rPr>
              <w:t>din condițiile</w:t>
            </w:r>
            <w:r w:rsidR="0064223A">
              <w:rPr>
                <w:rFonts w:eastAsia="Times New Roman"/>
                <w:color w:val="000000"/>
                <w:sz w:val="20"/>
                <w:szCs w:val="20"/>
              </w:rPr>
              <w:t xml:space="preserve"> </w:t>
            </w:r>
            <w:r w:rsidRPr="0083730F">
              <w:rPr>
                <w:rFonts w:eastAsia="Times New Roman"/>
                <w:color w:val="000000"/>
                <w:sz w:val="20"/>
                <w:szCs w:val="20"/>
              </w:rPr>
              <w:t>-</w:t>
            </w:r>
            <w:r w:rsidR="0064223A">
              <w:rPr>
                <w:rFonts w:eastAsia="Times New Roman"/>
                <w:color w:val="000000"/>
                <w:sz w:val="20"/>
                <w:szCs w:val="20"/>
              </w:rPr>
              <w:t xml:space="preserve"> </w:t>
            </w:r>
            <w:r w:rsidRPr="0083730F">
              <w:rPr>
                <w:rFonts w:eastAsia="Times New Roman"/>
                <w:color w:val="000000"/>
                <w:sz w:val="20"/>
                <w:szCs w:val="20"/>
              </w:rPr>
              <w:t>cadru și ale art. 66 alin. (3) lit. a) din Legea nr. 123/2012, cu modificările și completările ulterioare)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v. Nota</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Numărul de concentratoare instalate în anul de raportare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v. Nota</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Numărul de contoare de balanţă instalate în anul de raportare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v. Nota</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Numărul de contoare SMI cu modul de comunicaţie PLC instalate în anul de raportare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B640E4" w:rsidRDefault="00E70144" w:rsidP="00E70144">
            <w:pPr>
              <w:rPr>
                <w:rFonts w:eastAsia="Times New Roman"/>
                <w:sz w:val="22"/>
                <w:szCs w:val="22"/>
              </w:rPr>
            </w:pP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Numărul de contoare SMI cu modul de comunicaţie GPRS instalate în anul de raportare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buc.</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B640E4" w:rsidRDefault="00E70144" w:rsidP="00E70144">
            <w:pPr>
              <w:rPr>
                <w:rFonts w:eastAsia="Times New Roman"/>
                <w:sz w:val="22"/>
                <w:szCs w:val="22"/>
              </w:rPr>
            </w:pP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Costul total al investiţiei pentru implementarea SMI în anul de raportare (corelat cu valoarea raportată la categoria B5 din Anexa nr. 1 la procedura privind fundamentarea şi aprobarea planurilor de dezvoltare şi de investiţii ale operatorului de transport şi de sistem şi ale operatorilor de distribuţie a energiei electrice în vigoare)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 xml:space="preserve">Dacă există diferență între valoarea raportată în anexă față de valoarea raportată în anexa nr. 1 la </w:t>
            </w:r>
            <w:r w:rsidR="009B3BBB" w:rsidRPr="0064223A">
              <w:rPr>
                <w:rFonts w:eastAsia="Times New Roman"/>
                <w:color w:val="000000"/>
                <w:sz w:val="16"/>
                <w:szCs w:val="16"/>
              </w:rPr>
              <w:t xml:space="preserve">Procedura </w:t>
            </w:r>
            <w:r w:rsidRPr="0064223A">
              <w:rPr>
                <w:rFonts w:eastAsia="Times New Roman"/>
                <w:color w:val="000000"/>
                <w:sz w:val="16"/>
                <w:szCs w:val="16"/>
              </w:rPr>
              <w:t>privind fundamentarea şi aprobarea planurilor de dezvoltare şi de investiţii ale operatorului de transport şi de sistem şi ale operatorilor de distribuţie a energiei electrice la categoria B5, se vor detalia motivele d</w:t>
            </w:r>
            <w:r w:rsidR="009B3BBB" w:rsidRPr="0064223A">
              <w:rPr>
                <w:rFonts w:eastAsia="Times New Roman"/>
                <w:color w:val="000000"/>
                <w:sz w:val="16"/>
                <w:szCs w:val="16"/>
              </w:rPr>
              <w:t>i</w:t>
            </w:r>
            <w:r w:rsidRPr="0064223A">
              <w:rPr>
                <w:rFonts w:eastAsia="Times New Roman"/>
                <w:color w:val="000000"/>
                <w:sz w:val="16"/>
                <w:szCs w:val="16"/>
              </w:rPr>
              <w:t>ferenței</w:t>
            </w:r>
            <w:r w:rsidR="0064223A">
              <w:rPr>
                <w:rFonts w:eastAsia="Times New Roman"/>
                <w:color w:val="000000"/>
                <w:sz w:val="16"/>
                <w:szCs w:val="16"/>
              </w:rPr>
              <w:t>.</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xml:space="preserve">Valoarea totală a Beneficiilor înregistrate în anul de raportare, din care: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B640E4" w:rsidRDefault="00E70144" w:rsidP="00E70144">
            <w:pPr>
              <w:rPr>
                <w:rFonts w:eastAsia="Times New Roman"/>
                <w:color w:val="000000"/>
                <w:sz w:val="22"/>
                <w:szCs w:val="22"/>
              </w:rPr>
            </w:pPr>
          </w:p>
        </w:tc>
      </w:tr>
      <w:tr w:rsidR="00E70144" w:rsidRPr="00B640E4" w:rsidTr="00FD130D">
        <w:tc>
          <w:tcPr>
            <w:tcW w:w="596" w:type="dxa"/>
            <w:vMerge w:val="restart"/>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Reducerea costurilor cu citirile contoarelor: Vcca – Vccref</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B640E4" w:rsidRDefault="00E70144" w:rsidP="00E70144">
            <w:pPr>
              <w:rPr>
                <w:rFonts w:eastAsia="Times New Roman"/>
                <w:color w:val="000000"/>
                <w:sz w:val="22"/>
                <w:szCs w:val="22"/>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Vcca - Valoarea costului cu citirea contoarelor aferent locurilor de consum integrate în SMI până inclusiv în anul de raportare, înregistrat în anul de raportare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B640E4" w:rsidRDefault="00E70144" w:rsidP="00E70144">
            <w:pPr>
              <w:rPr>
                <w:rFonts w:eastAsia="Times New Roman"/>
                <w:color w:val="000000"/>
                <w:sz w:val="22"/>
                <w:szCs w:val="22"/>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Vccref - Valoarea costului cu citirea contoarelor aferent locurilor de consum integrate în SMI până inclusiv în anul de raportare, determinat pentru cazul în care citirile ar fi fost efectuate în teren conform reglementărilor în vigoare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Se va preciza costul unitar de referință istoric [lei/Loc de consum] folosit pentru determinarea valorii de referință</w:t>
            </w:r>
            <w:r w:rsidR="0064223A">
              <w:rPr>
                <w:rFonts w:eastAsia="Times New Roman"/>
                <w:color w:val="000000"/>
                <w:sz w:val="16"/>
                <w:szCs w:val="16"/>
              </w:rPr>
              <w:t>.</w:t>
            </w:r>
          </w:p>
        </w:tc>
      </w:tr>
      <w:tr w:rsidR="00E70144" w:rsidRPr="00B640E4" w:rsidTr="00FD130D">
        <w:tc>
          <w:tcPr>
            <w:tcW w:w="596" w:type="dxa"/>
            <w:vMerge w:val="restart"/>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Reducerea costurilor cu deconectările/reconectările: Vdra – Vdrref</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013C54" w:rsidRDefault="00E70144" w:rsidP="00E70144">
            <w:pPr>
              <w:rPr>
                <w:rFonts w:eastAsia="Times New Roman"/>
                <w:color w:val="000000"/>
                <w:sz w:val="20"/>
                <w:szCs w:val="20"/>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Vdra - Valoarea costurilor cu deconectările/reconectările efectiv înregistrate în anul de raportare în zonele integrate în SMI până la sfârșitul anului de raportare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013C54" w:rsidRDefault="00E70144" w:rsidP="00E70144">
            <w:pPr>
              <w:rPr>
                <w:rFonts w:eastAsia="Times New Roman"/>
                <w:color w:val="000000"/>
                <w:sz w:val="20"/>
                <w:szCs w:val="20"/>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w:t>
            </w:r>
            <w:r w:rsidR="00554B78" w:rsidRPr="0083730F">
              <w:rPr>
                <w:rFonts w:eastAsia="Times New Roman"/>
                <w:color w:val="000000"/>
                <w:sz w:val="20"/>
                <w:szCs w:val="20"/>
              </w:rPr>
              <w:t xml:space="preserve">Vdrref - </w:t>
            </w:r>
            <w:r w:rsidRPr="0083730F">
              <w:rPr>
                <w:rFonts w:eastAsia="Times New Roman"/>
                <w:color w:val="000000"/>
                <w:sz w:val="20"/>
                <w:szCs w:val="20"/>
              </w:rPr>
              <w:t xml:space="preserve">Valoarea costurilor aferente numărului de deconectări/reconectări înregistate în anul de raportare în zonele integrate în SMI până la sfârșitul anului de raportare, determinate pe baza costurilor efectuate pentru cazul în care deconectările/reconectările respective ar fi fost rezolvate prin procedurile standard, fără acționare de la distanță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 xml:space="preserve">Se va preciza numărul de deconectări/ reconectări luate în calcul și costul unitar </w:t>
            </w:r>
            <w:r w:rsidR="00AA4180" w:rsidRPr="0064223A">
              <w:rPr>
                <w:rFonts w:eastAsia="Times New Roman"/>
                <w:color w:val="000000"/>
                <w:sz w:val="16"/>
                <w:szCs w:val="16"/>
              </w:rPr>
              <w:t>istoric</w:t>
            </w:r>
            <w:r w:rsidRPr="0064223A">
              <w:rPr>
                <w:rFonts w:eastAsia="Times New Roman"/>
                <w:color w:val="000000"/>
                <w:sz w:val="16"/>
                <w:szCs w:val="16"/>
              </w:rPr>
              <w:t xml:space="preserve"> [lei/Loc de consum] folosit pentru determinarea valorii</w:t>
            </w:r>
            <w:r w:rsidR="00B45162" w:rsidRPr="0064223A">
              <w:rPr>
                <w:rFonts w:eastAsia="Times New Roman"/>
                <w:color w:val="000000"/>
                <w:sz w:val="16"/>
                <w:szCs w:val="16"/>
              </w:rPr>
              <w:t xml:space="preserve"> de referință</w:t>
            </w:r>
            <w:r w:rsidR="0064223A">
              <w:rPr>
                <w:rFonts w:eastAsia="Times New Roman"/>
                <w:color w:val="000000"/>
                <w:sz w:val="16"/>
                <w:szCs w:val="16"/>
              </w:rPr>
              <w:t>.</w:t>
            </w:r>
          </w:p>
        </w:tc>
      </w:tr>
      <w:tr w:rsidR="00E70144" w:rsidRPr="00B640E4" w:rsidTr="00FD130D">
        <w:tc>
          <w:tcPr>
            <w:tcW w:w="596" w:type="dxa"/>
            <w:vMerge w:val="restart"/>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xml:space="preserve">- Reducere altor costuri de operare şi mentenanţă a reţelelor în zonele în care s-au implementat SMI: Vaa – Varef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Vaa - Valoarea costurilor de operare și mentenanță efectiv înregistrate în anul de raportare în zonele integrate în SMI până la sfârșitul anului de raportare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p>
        </w:tc>
      </w:tr>
      <w:tr w:rsidR="00E70144" w:rsidRPr="00B640E4" w:rsidTr="00FD130D">
        <w:tc>
          <w:tcPr>
            <w:tcW w:w="596" w:type="dxa"/>
            <w:vMerge/>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ind w:left="369"/>
              <w:jc w:val="both"/>
              <w:rPr>
                <w:rFonts w:eastAsia="Times New Roman"/>
                <w:color w:val="000000"/>
                <w:sz w:val="20"/>
                <w:szCs w:val="20"/>
              </w:rPr>
            </w:pPr>
            <w:r w:rsidRPr="0083730F">
              <w:rPr>
                <w:rFonts w:eastAsia="Times New Roman"/>
                <w:color w:val="000000"/>
                <w:sz w:val="20"/>
                <w:szCs w:val="20"/>
              </w:rPr>
              <w:sym w:font="Symbol" w:char="F0B7"/>
            </w:r>
            <w:r w:rsidRPr="0083730F">
              <w:rPr>
                <w:rFonts w:eastAsia="Times New Roman"/>
                <w:color w:val="000000"/>
                <w:sz w:val="20"/>
                <w:szCs w:val="20"/>
              </w:rPr>
              <w:t xml:space="preserve"> Varef - Valoarea costurilor de operare și mentenanță aferente numărului de locuri de consum integrate în SMI până la sfârșitul anului de raportare, determinate pe baza costurilor unitare istorice cu operarea și mentenanța pe loc de consum neintegrat în SMI </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64223A" w:rsidRDefault="00E70144" w:rsidP="00E70144">
            <w:pPr>
              <w:rPr>
                <w:rFonts w:eastAsia="Times New Roman"/>
                <w:color w:val="000000"/>
                <w:sz w:val="16"/>
                <w:szCs w:val="16"/>
              </w:rPr>
            </w:pPr>
            <w:r w:rsidRPr="0064223A">
              <w:rPr>
                <w:rFonts w:eastAsia="Times New Roman"/>
                <w:color w:val="000000"/>
                <w:sz w:val="16"/>
                <w:szCs w:val="16"/>
              </w:rPr>
              <w:t>Se va preciza costul unitar istoric [lei/Loc de consum] folosit pentru determinarea valorii de referință</w:t>
            </w:r>
            <w:r w:rsidR="0064223A">
              <w:rPr>
                <w:rFonts w:eastAsia="Times New Roman"/>
                <w:color w:val="000000"/>
                <w:sz w:val="16"/>
                <w:szCs w:val="16"/>
              </w:rPr>
              <w:t>.</w:t>
            </w:r>
          </w:p>
        </w:tc>
      </w:tr>
      <w:tr w:rsidR="00E70144" w:rsidRPr="00B640E4" w:rsidTr="00FD130D">
        <w:tc>
          <w:tcPr>
            <w:tcW w:w="596" w:type="dxa"/>
            <w:tcBorders>
              <w:top w:val="single" w:sz="6" w:space="0" w:color="000000"/>
              <w:left w:val="single" w:sz="6" w:space="0" w:color="000000"/>
              <w:bottom w:val="single" w:sz="6" w:space="0" w:color="000000"/>
              <w:right w:val="single" w:sz="6" w:space="0" w:color="000000"/>
            </w:tcBorders>
            <w:vAlign w:val="center"/>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xml:space="preserve">- </w:t>
            </w:r>
            <w:r w:rsidR="006C4F80">
              <w:rPr>
                <w:rFonts w:eastAsia="Times New Roman"/>
                <w:color w:val="000000"/>
                <w:sz w:val="20"/>
                <w:szCs w:val="20"/>
              </w:rPr>
              <w:t xml:space="preserve">Valoarea energiei electrice recuperată din pierderile comerciale </w:t>
            </w:r>
            <w:r w:rsidR="006C4F80" w:rsidRPr="006C4F80">
              <w:rPr>
                <w:rFonts w:eastAsia="Times New Roman"/>
                <w:color w:val="000000"/>
                <w:sz w:val="20"/>
                <w:szCs w:val="20"/>
              </w:rPr>
              <w:t>aferente rețelelor electrice de JT din zonele cu locuri de consum/de producere și consum integrate în SMI, înregistrată în anul de raportare</w:t>
            </w:r>
          </w:p>
        </w:tc>
        <w:tc>
          <w:tcPr>
            <w:tcW w:w="487" w:type="dxa"/>
            <w:tcBorders>
              <w:top w:val="single" w:sz="6" w:space="0" w:color="000000"/>
              <w:left w:val="single" w:sz="6" w:space="0" w:color="000000"/>
              <w:bottom w:val="single" w:sz="6" w:space="0" w:color="000000"/>
              <w:right w:val="single" w:sz="6" w:space="0" w:color="000000"/>
            </w:tcBorders>
            <w:vAlign w:val="center"/>
          </w:tcPr>
          <w:p w:rsidR="00E70144" w:rsidRPr="00B640E4"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tcPr>
          <w:p w:rsidR="00E70144" w:rsidRPr="00B640E4"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Default="0064223A" w:rsidP="00E70144">
            <w:pPr>
              <w:rPr>
                <w:rFonts w:eastAsia="Times New Roman"/>
                <w:color w:val="000000"/>
                <w:sz w:val="16"/>
                <w:szCs w:val="16"/>
              </w:rPr>
            </w:pPr>
            <w:r w:rsidRPr="0064223A">
              <w:rPr>
                <w:rFonts w:eastAsia="Times New Roman"/>
                <w:color w:val="000000"/>
                <w:sz w:val="16"/>
                <w:szCs w:val="16"/>
              </w:rPr>
              <w:t>Cantitatea de energie luată în calcul este cea de la poz. 14 din anexa nr. 3 la condițiile – cadru.</w:t>
            </w:r>
          </w:p>
          <w:p w:rsidR="0064223A" w:rsidRPr="0064223A" w:rsidRDefault="0064223A" w:rsidP="00E70144">
            <w:pPr>
              <w:rPr>
                <w:rFonts w:eastAsia="Times New Roman"/>
                <w:color w:val="000000"/>
                <w:sz w:val="16"/>
                <w:szCs w:val="16"/>
              </w:rPr>
            </w:pPr>
            <w:r>
              <w:rPr>
                <w:rFonts w:eastAsia="Times New Roman"/>
                <w:color w:val="000000"/>
                <w:sz w:val="16"/>
                <w:szCs w:val="16"/>
              </w:rPr>
              <w:t>Prețul energiei electrice utilizat în calcul va fi prețul mediu pentru achiziția energiei electrice pentru CPT realizat în anul de raportare.</w:t>
            </w:r>
          </w:p>
        </w:tc>
      </w:tr>
      <w:tr w:rsidR="00E70144" w:rsidRPr="00575C99" w:rsidTr="00FD130D">
        <w:tc>
          <w:tcPr>
            <w:tcW w:w="596" w:type="dxa"/>
            <w:tcBorders>
              <w:top w:val="single" w:sz="6" w:space="0" w:color="000000"/>
              <w:left w:val="single" w:sz="6" w:space="0" w:color="000000"/>
              <w:bottom w:val="single" w:sz="6" w:space="0" w:color="000000"/>
              <w:right w:val="single" w:sz="6" w:space="0" w:color="000000"/>
            </w:tcBorders>
            <w:vAlign w:val="center"/>
            <w:hideMark/>
          </w:tcPr>
          <w:p w:rsidR="00E70144" w:rsidRPr="00B640E4" w:rsidRDefault="00E70144" w:rsidP="00E70144">
            <w:pPr>
              <w:pStyle w:val="ListParagraph"/>
              <w:numPr>
                <w:ilvl w:val="0"/>
                <w:numId w:val="31"/>
              </w:numPr>
              <w:tabs>
                <w:tab w:val="left" w:pos="361"/>
              </w:tabs>
              <w:suppressAutoHyphens/>
              <w:spacing w:line="247" w:lineRule="auto"/>
              <w:ind w:left="357" w:hanging="357"/>
              <w:contextualSpacing w:val="0"/>
              <w:jc w:val="center"/>
              <w:textAlignment w:val="baseline"/>
              <w:rPr>
                <w:rFonts w:eastAsia="Times New Roman"/>
                <w:color w:val="000000"/>
              </w:rPr>
            </w:pPr>
          </w:p>
        </w:tc>
        <w:tc>
          <w:tcPr>
            <w:tcW w:w="6296" w:type="dxa"/>
            <w:tcBorders>
              <w:top w:val="single" w:sz="6" w:space="0" w:color="000000"/>
              <w:left w:val="single" w:sz="6" w:space="0" w:color="000000"/>
              <w:bottom w:val="single" w:sz="6" w:space="0" w:color="000000"/>
              <w:right w:val="single" w:sz="6" w:space="0" w:color="000000"/>
            </w:tcBorders>
            <w:vAlign w:val="center"/>
            <w:hideMark/>
          </w:tcPr>
          <w:p w:rsidR="00E70144" w:rsidRPr="0083730F" w:rsidRDefault="00E70144" w:rsidP="00E70144">
            <w:pPr>
              <w:jc w:val="both"/>
              <w:rPr>
                <w:rFonts w:eastAsia="Times New Roman"/>
                <w:color w:val="000000"/>
                <w:sz w:val="20"/>
                <w:szCs w:val="20"/>
              </w:rPr>
            </w:pPr>
            <w:r w:rsidRPr="0083730F">
              <w:rPr>
                <w:rFonts w:eastAsia="Times New Roman"/>
                <w:color w:val="000000"/>
                <w:sz w:val="20"/>
                <w:szCs w:val="20"/>
              </w:rPr>
              <w:t>- Alte beneficii înregistrate în anul de raportare (se detaliază structura sursei de costuri pe baza căreia au fost determinate beneficiile)</w:t>
            </w:r>
          </w:p>
        </w:tc>
        <w:tc>
          <w:tcPr>
            <w:tcW w:w="487" w:type="dxa"/>
            <w:tcBorders>
              <w:top w:val="single" w:sz="6" w:space="0" w:color="000000"/>
              <w:left w:val="single" w:sz="6" w:space="0" w:color="000000"/>
              <w:bottom w:val="single" w:sz="6" w:space="0" w:color="000000"/>
              <w:right w:val="single" w:sz="6" w:space="0" w:color="000000"/>
            </w:tcBorders>
            <w:vAlign w:val="center"/>
            <w:hideMark/>
          </w:tcPr>
          <w:p w:rsidR="00E70144" w:rsidRPr="00575C99" w:rsidRDefault="00E70144" w:rsidP="00E70144">
            <w:pPr>
              <w:jc w:val="center"/>
              <w:rPr>
                <w:rFonts w:eastAsia="Times New Roman"/>
                <w:color w:val="000000"/>
                <w:sz w:val="22"/>
                <w:szCs w:val="22"/>
              </w:rPr>
            </w:pPr>
            <w:r w:rsidRPr="00B640E4">
              <w:rPr>
                <w:rFonts w:eastAsia="Times New Roman"/>
                <w:color w:val="000000"/>
                <w:sz w:val="22"/>
                <w:szCs w:val="22"/>
              </w:rPr>
              <w:t>lei</w:t>
            </w:r>
          </w:p>
        </w:tc>
        <w:tc>
          <w:tcPr>
            <w:tcW w:w="1118" w:type="dxa"/>
            <w:tcBorders>
              <w:top w:val="single" w:sz="6" w:space="0" w:color="000000"/>
              <w:left w:val="single" w:sz="6" w:space="0" w:color="000000"/>
              <w:bottom w:val="single" w:sz="6" w:space="0" w:color="000000"/>
              <w:right w:val="single" w:sz="6" w:space="0" w:color="000000"/>
            </w:tcBorders>
            <w:vAlign w:val="center"/>
            <w:hideMark/>
          </w:tcPr>
          <w:p w:rsidR="00E70144" w:rsidRPr="00575C99" w:rsidRDefault="00E70144" w:rsidP="00E70144">
            <w:pPr>
              <w:rPr>
                <w:rFonts w:eastAsia="Times New Roman"/>
                <w:color w:val="000000"/>
                <w:sz w:val="22"/>
                <w:szCs w:val="22"/>
              </w:rPr>
            </w:pPr>
          </w:p>
        </w:tc>
        <w:tc>
          <w:tcPr>
            <w:tcW w:w="1701" w:type="dxa"/>
            <w:tcBorders>
              <w:top w:val="single" w:sz="6" w:space="0" w:color="000000"/>
              <w:left w:val="single" w:sz="6" w:space="0" w:color="000000"/>
              <w:bottom w:val="single" w:sz="6" w:space="0" w:color="000000"/>
              <w:right w:val="single" w:sz="6" w:space="0" w:color="000000"/>
            </w:tcBorders>
          </w:tcPr>
          <w:p w:rsidR="00E70144" w:rsidRPr="00575C99" w:rsidRDefault="00E70144" w:rsidP="00E70144">
            <w:pPr>
              <w:rPr>
                <w:rFonts w:eastAsia="Times New Roman"/>
                <w:color w:val="000000"/>
                <w:sz w:val="22"/>
                <w:szCs w:val="22"/>
              </w:rPr>
            </w:pPr>
          </w:p>
        </w:tc>
      </w:tr>
    </w:tbl>
    <w:p w:rsidR="00683682" w:rsidRDefault="002A2B75" w:rsidP="00B425E9">
      <w:pPr>
        <w:spacing w:before="120" w:line="276" w:lineRule="auto"/>
        <w:jc w:val="both"/>
      </w:pPr>
      <w:r>
        <w:rPr>
          <w:b/>
        </w:rPr>
        <w:t xml:space="preserve">Notă: </w:t>
      </w:r>
      <w:r>
        <w:t xml:space="preserve"> </w:t>
      </w:r>
      <w:r w:rsidRPr="002A2B75">
        <w:t xml:space="preserve">Numărul raportat de contoare și concentratoare </w:t>
      </w:r>
      <w:r>
        <w:t xml:space="preserve">instalate în anul de raportare </w:t>
      </w:r>
      <w:r w:rsidRPr="002A2B75">
        <w:t>trebuie să corespundă cu valorile raportate la categoria B5 din anexa nr. 1 la procedura privind fundamentarea şi aprobarea planurilor de dezvoltare şi de investiţii ale operatorului de transport şi de sistem şi ale operatorilor de distribuţie a energiei electrice</w:t>
      </w:r>
      <w:r w:rsidR="00D45ACA">
        <w:t>,</w:t>
      </w:r>
      <w:r w:rsidRPr="002A2B75">
        <w:t xml:space="preserve"> </w:t>
      </w:r>
      <w:r w:rsidR="00E70144">
        <w:t xml:space="preserve">ediția </w:t>
      </w:r>
      <w:r w:rsidRPr="002A2B75">
        <w:t>în vigoare.</w:t>
      </w:r>
      <w:r w:rsidR="00D45ACA">
        <w:t xml:space="preserve"> Dacă sunt diferențe, vor fi detaliate cauzele care au determinat aceste diferențe</w:t>
      </w:r>
      <w:r w:rsidR="0064223A">
        <w:t>.</w:t>
      </w:r>
    </w:p>
    <w:p w:rsidR="009B3BBB" w:rsidRDefault="009B3BBB">
      <w:pPr>
        <w:rPr>
          <w:rFonts w:eastAsiaTheme="minorEastAsia"/>
          <w:b/>
          <w:color w:val="000000"/>
          <w:shd w:val="clear" w:color="auto" w:fill="FFFFFF"/>
          <w:lang w:val="en-US"/>
        </w:rPr>
      </w:pPr>
      <w:r>
        <w:rPr>
          <w:b/>
          <w:color w:val="000000"/>
          <w:shd w:val="clear" w:color="auto" w:fill="FFFFFF"/>
        </w:rPr>
        <w:br w:type="page"/>
      </w:r>
    </w:p>
    <w:p w:rsidR="00E35513" w:rsidRDefault="00E35513" w:rsidP="00E35513">
      <w:pPr>
        <w:pStyle w:val="spar"/>
        <w:spacing w:line="360" w:lineRule="auto"/>
        <w:jc w:val="right"/>
        <w:rPr>
          <w:b/>
          <w:color w:val="000000"/>
          <w:shd w:val="clear" w:color="auto" w:fill="FFFFFF"/>
        </w:rPr>
      </w:pPr>
      <w:r w:rsidRPr="00E35513">
        <w:rPr>
          <w:b/>
          <w:color w:val="000000"/>
          <w:shd w:val="clear" w:color="auto" w:fill="FFFFFF"/>
        </w:rPr>
        <w:lastRenderedPageBreak/>
        <w:t xml:space="preserve">Tabelul nr. </w:t>
      </w:r>
      <w:r>
        <w:rPr>
          <w:b/>
          <w:color w:val="000000"/>
          <w:shd w:val="clear" w:color="auto" w:fill="FFFFFF"/>
        </w:rPr>
        <w:t>2</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992"/>
        <w:gridCol w:w="709"/>
        <w:gridCol w:w="992"/>
        <w:gridCol w:w="709"/>
        <w:gridCol w:w="1276"/>
        <w:gridCol w:w="1275"/>
        <w:gridCol w:w="1276"/>
        <w:gridCol w:w="1418"/>
      </w:tblGrid>
      <w:tr w:rsidR="00825631" w:rsidRPr="00E35513" w:rsidTr="00CF6C86">
        <w:trPr>
          <w:trHeight w:val="1593"/>
          <w:tblHeader/>
        </w:trPr>
        <w:tc>
          <w:tcPr>
            <w:tcW w:w="1135" w:type="dxa"/>
            <w:shd w:val="clear" w:color="auto" w:fill="auto"/>
            <w:vAlign w:val="center"/>
            <w:hideMark/>
          </w:tcPr>
          <w:p w:rsidR="00825631" w:rsidRPr="00E35513" w:rsidRDefault="00825631" w:rsidP="00E35513">
            <w:pPr>
              <w:jc w:val="center"/>
              <w:rPr>
                <w:rFonts w:eastAsia="Times New Roman"/>
                <w:color w:val="000000"/>
                <w:sz w:val="18"/>
                <w:szCs w:val="18"/>
                <w:lang w:val="en-US"/>
              </w:rPr>
            </w:pPr>
            <w:r w:rsidRPr="00E35513">
              <w:rPr>
                <w:rFonts w:eastAsia="Times New Roman"/>
                <w:color w:val="000000"/>
                <w:sz w:val="18"/>
                <w:szCs w:val="18"/>
                <w:lang w:val="en-US"/>
              </w:rPr>
              <w:t xml:space="preserve">ID_loc de </w:t>
            </w:r>
            <w:r w:rsidR="009137F6">
              <w:rPr>
                <w:rFonts w:eastAsia="Times New Roman"/>
                <w:color w:val="000000"/>
                <w:sz w:val="18"/>
                <w:szCs w:val="18"/>
                <w:lang w:val="en-US"/>
              </w:rPr>
              <w:t>consum/de producere</w:t>
            </w:r>
            <w:r w:rsidRPr="00E35513">
              <w:rPr>
                <w:rFonts w:eastAsia="Times New Roman"/>
                <w:color w:val="000000"/>
                <w:sz w:val="18"/>
                <w:szCs w:val="18"/>
                <w:lang w:val="en-US"/>
              </w:rPr>
              <w:t xml:space="preserve"> și consum</w:t>
            </w:r>
          </w:p>
        </w:tc>
        <w:tc>
          <w:tcPr>
            <w:tcW w:w="992" w:type="dxa"/>
            <w:shd w:val="clear" w:color="auto" w:fill="auto"/>
            <w:vAlign w:val="center"/>
            <w:hideMark/>
          </w:tcPr>
          <w:p w:rsidR="00825631" w:rsidRPr="00E35513" w:rsidRDefault="00825631" w:rsidP="00E35513">
            <w:pPr>
              <w:jc w:val="center"/>
              <w:rPr>
                <w:rFonts w:eastAsia="Times New Roman"/>
                <w:color w:val="000000"/>
                <w:sz w:val="18"/>
                <w:szCs w:val="18"/>
                <w:lang w:val="en-US"/>
              </w:rPr>
            </w:pPr>
            <w:r w:rsidRPr="00E35513">
              <w:rPr>
                <w:rFonts w:eastAsia="Times New Roman"/>
                <w:color w:val="000000"/>
                <w:sz w:val="18"/>
                <w:szCs w:val="18"/>
                <w:lang w:val="en-US"/>
              </w:rPr>
              <w:t>ID_P</w:t>
            </w:r>
            <w:r>
              <w:rPr>
                <w:rFonts w:eastAsia="Times New Roman"/>
                <w:color w:val="000000"/>
                <w:sz w:val="18"/>
                <w:szCs w:val="18"/>
                <w:lang w:val="en-US"/>
              </w:rPr>
              <w:t>ost_de_transformare</w:t>
            </w:r>
            <w:r w:rsidR="00D60900">
              <w:rPr>
                <w:rFonts w:eastAsia="Times New Roman"/>
                <w:color w:val="000000"/>
                <w:sz w:val="18"/>
                <w:szCs w:val="18"/>
                <w:lang w:val="en-US"/>
              </w:rPr>
              <w:t xml:space="preserve"> (alimentarea de bază cf. certificatului de racordare)</w:t>
            </w:r>
          </w:p>
        </w:tc>
        <w:tc>
          <w:tcPr>
            <w:tcW w:w="992" w:type="dxa"/>
            <w:shd w:val="clear" w:color="auto" w:fill="auto"/>
            <w:vAlign w:val="center"/>
            <w:hideMark/>
          </w:tcPr>
          <w:p w:rsidR="00825631" w:rsidRPr="00E35513" w:rsidRDefault="00825631" w:rsidP="00E35513">
            <w:pPr>
              <w:jc w:val="center"/>
              <w:rPr>
                <w:rFonts w:eastAsia="Times New Roman"/>
                <w:color w:val="000000"/>
                <w:sz w:val="18"/>
                <w:szCs w:val="18"/>
                <w:lang w:val="en-US"/>
              </w:rPr>
            </w:pPr>
            <w:r w:rsidRPr="00E35513">
              <w:rPr>
                <w:rFonts w:eastAsia="Times New Roman"/>
                <w:color w:val="000000"/>
                <w:sz w:val="18"/>
                <w:szCs w:val="18"/>
                <w:lang w:val="en-US"/>
              </w:rPr>
              <w:t>Localitate</w:t>
            </w:r>
          </w:p>
        </w:tc>
        <w:tc>
          <w:tcPr>
            <w:tcW w:w="709" w:type="dxa"/>
            <w:shd w:val="clear" w:color="auto" w:fill="auto"/>
            <w:vAlign w:val="center"/>
            <w:hideMark/>
          </w:tcPr>
          <w:p w:rsidR="00825631" w:rsidRPr="00E35513" w:rsidRDefault="00825631" w:rsidP="00E35513">
            <w:pPr>
              <w:jc w:val="center"/>
              <w:rPr>
                <w:rFonts w:eastAsia="Times New Roman"/>
                <w:color w:val="000000"/>
                <w:sz w:val="18"/>
                <w:szCs w:val="18"/>
                <w:lang w:val="en-US"/>
              </w:rPr>
            </w:pPr>
            <w:r w:rsidRPr="00E35513">
              <w:rPr>
                <w:rFonts w:eastAsia="Times New Roman"/>
                <w:color w:val="000000"/>
                <w:sz w:val="18"/>
                <w:szCs w:val="18"/>
                <w:lang w:val="en-US"/>
              </w:rPr>
              <w:t>Județ</w:t>
            </w:r>
          </w:p>
        </w:tc>
        <w:tc>
          <w:tcPr>
            <w:tcW w:w="992" w:type="dxa"/>
            <w:vAlign w:val="center"/>
          </w:tcPr>
          <w:p w:rsidR="00825631" w:rsidRPr="00C43ED1" w:rsidRDefault="00825631" w:rsidP="00825631">
            <w:pPr>
              <w:jc w:val="center"/>
              <w:rPr>
                <w:rFonts w:eastAsia="Times New Roman"/>
                <w:color w:val="000000"/>
                <w:sz w:val="16"/>
                <w:szCs w:val="16"/>
                <w:lang w:val="en-US"/>
              </w:rPr>
            </w:pPr>
            <w:r w:rsidRPr="00C43ED1">
              <w:rPr>
                <w:rFonts w:eastAsia="Times New Roman"/>
                <w:color w:val="000000"/>
                <w:sz w:val="16"/>
                <w:szCs w:val="16"/>
                <w:lang w:val="en-US"/>
              </w:rPr>
              <w:t xml:space="preserve">Data montării contorului la locul de </w:t>
            </w:r>
            <w:r w:rsidR="009137F6">
              <w:rPr>
                <w:rFonts w:eastAsia="Times New Roman"/>
                <w:color w:val="000000"/>
                <w:sz w:val="16"/>
                <w:szCs w:val="16"/>
                <w:lang w:val="en-US"/>
              </w:rPr>
              <w:t>consum/de producere</w:t>
            </w:r>
            <w:r w:rsidRPr="00C43ED1">
              <w:rPr>
                <w:rFonts w:eastAsia="Times New Roman"/>
                <w:color w:val="000000"/>
                <w:sz w:val="16"/>
                <w:szCs w:val="16"/>
                <w:lang w:val="en-US"/>
              </w:rPr>
              <w:t xml:space="preserve"> și consum</w:t>
            </w:r>
          </w:p>
        </w:tc>
        <w:tc>
          <w:tcPr>
            <w:tcW w:w="709" w:type="dxa"/>
            <w:shd w:val="clear" w:color="auto" w:fill="auto"/>
            <w:vAlign w:val="center"/>
            <w:hideMark/>
          </w:tcPr>
          <w:p w:rsidR="00825631" w:rsidRPr="00C721DC" w:rsidRDefault="00825631" w:rsidP="00E35513">
            <w:pPr>
              <w:jc w:val="center"/>
              <w:rPr>
                <w:rFonts w:eastAsia="Times New Roman"/>
                <w:color w:val="000000"/>
                <w:sz w:val="16"/>
                <w:szCs w:val="16"/>
                <w:lang w:val="en-US"/>
              </w:rPr>
            </w:pPr>
            <w:r w:rsidRPr="00C721DC">
              <w:rPr>
                <w:rFonts w:eastAsia="Times New Roman"/>
                <w:color w:val="000000"/>
                <w:sz w:val="16"/>
                <w:szCs w:val="16"/>
                <w:lang w:val="en-US"/>
              </w:rPr>
              <w:t xml:space="preserve">Data integrării în SMI </w:t>
            </w:r>
          </w:p>
        </w:tc>
        <w:tc>
          <w:tcPr>
            <w:tcW w:w="1276" w:type="dxa"/>
            <w:shd w:val="clear" w:color="auto" w:fill="auto"/>
            <w:vAlign w:val="center"/>
            <w:hideMark/>
          </w:tcPr>
          <w:p w:rsidR="00825631" w:rsidRPr="002C4FB3" w:rsidRDefault="00825631" w:rsidP="00E35513">
            <w:pPr>
              <w:jc w:val="center"/>
              <w:rPr>
                <w:rFonts w:eastAsia="Times New Roman"/>
                <w:color w:val="000000"/>
                <w:sz w:val="16"/>
                <w:szCs w:val="16"/>
                <w:lang w:val="en-US"/>
              </w:rPr>
            </w:pPr>
            <w:r w:rsidRPr="002C4FB3">
              <w:rPr>
                <w:rFonts w:eastAsia="Times New Roman"/>
                <w:color w:val="000000"/>
                <w:sz w:val="16"/>
                <w:szCs w:val="16"/>
                <w:lang w:val="en-US"/>
              </w:rPr>
              <w:t xml:space="preserve">Marca de timp (data/ora) a primului index înregistrat în HES/MDMS pentru locul de </w:t>
            </w:r>
            <w:r w:rsidR="009137F6">
              <w:rPr>
                <w:rFonts w:eastAsia="Times New Roman"/>
                <w:color w:val="000000"/>
                <w:sz w:val="16"/>
                <w:szCs w:val="16"/>
                <w:lang w:val="en-US"/>
              </w:rPr>
              <w:t>consum/de producere</w:t>
            </w:r>
            <w:r w:rsidRPr="002C4FB3">
              <w:rPr>
                <w:rFonts w:eastAsia="Times New Roman"/>
                <w:color w:val="000000"/>
                <w:sz w:val="16"/>
                <w:szCs w:val="16"/>
                <w:lang w:val="en-US"/>
              </w:rPr>
              <w:t xml:space="preserve"> și consum integrat</w:t>
            </w:r>
          </w:p>
        </w:tc>
        <w:tc>
          <w:tcPr>
            <w:tcW w:w="1275" w:type="dxa"/>
            <w:shd w:val="clear" w:color="auto" w:fill="auto"/>
            <w:vAlign w:val="center"/>
            <w:hideMark/>
          </w:tcPr>
          <w:p w:rsidR="00825631" w:rsidRPr="002C4FB3" w:rsidRDefault="00825631" w:rsidP="00E35513">
            <w:pPr>
              <w:jc w:val="center"/>
              <w:rPr>
                <w:rFonts w:eastAsia="Times New Roman"/>
                <w:color w:val="000000"/>
                <w:sz w:val="16"/>
                <w:szCs w:val="16"/>
                <w:lang w:val="en-US"/>
              </w:rPr>
            </w:pPr>
            <w:r w:rsidRPr="002C4FB3">
              <w:rPr>
                <w:rFonts w:eastAsia="Times New Roman"/>
                <w:color w:val="000000"/>
                <w:sz w:val="16"/>
                <w:szCs w:val="16"/>
                <w:lang w:val="en-US"/>
              </w:rPr>
              <w:t xml:space="preserve">Marca de timp (data/ora) a primului index înregistrat în anul de raportare pentru locul de </w:t>
            </w:r>
            <w:r w:rsidR="009137F6">
              <w:rPr>
                <w:rFonts w:eastAsia="Times New Roman"/>
                <w:color w:val="000000"/>
                <w:sz w:val="16"/>
                <w:szCs w:val="16"/>
                <w:lang w:val="en-US"/>
              </w:rPr>
              <w:t>consum/de producere</w:t>
            </w:r>
            <w:r w:rsidRPr="002C4FB3">
              <w:rPr>
                <w:rFonts w:eastAsia="Times New Roman"/>
                <w:color w:val="000000"/>
                <w:sz w:val="16"/>
                <w:szCs w:val="16"/>
                <w:lang w:val="en-US"/>
              </w:rPr>
              <w:t xml:space="preserve"> și consum</w:t>
            </w:r>
          </w:p>
        </w:tc>
        <w:tc>
          <w:tcPr>
            <w:tcW w:w="1276" w:type="dxa"/>
            <w:shd w:val="clear" w:color="auto" w:fill="auto"/>
            <w:vAlign w:val="center"/>
            <w:hideMark/>
          </w:tcPr>
          <w:p w:rsidR="00825631" w:rsidRPr="002C4FB3" w:rsidRDefault="00825631" w:rsidP="00E35513">
            <w:pPr>
              <w:jc w:val="center"/>
              <w:rPr>
                <w:rFonts w:eastAsia="Times New Roman"/>
                <w:color w:val="000000"/>
                <w:sz w:val="16"/>
                <w:szCs w:val="16"/>
                <w:lang w:val="en-US"/>
              </w:rPr>
            </w:pPr>
            <w:r w:rsidRPr="002C4FB3">
              <w:rPr>
                <w:rFonts w:eastAsia="Times New Roman"/>
                <w:color w:val="000000"/>
                <w:sz w:val="16"/>
                <w:szCs w:val="16"/>
                <w:lang w:val="en-US"/>
              </w:rPr>
              <w:t xml:space="preserve">Marca de timp (data/ora) a ultimului index înnregistrat în anul de raportare prntru locul de </w:t>
            </w:r>
            <w:r w:rsidR="009137F6">
              <w:rPr>
                <w:rFonts w:eastAsia="Times New Roman"/>
                <w:color w:val="000000"/>
                <w:sz w:val="16"/>
                <w:szCs w:val="16"/>
                <w:lang w:val="en-US"/>
              </w:rPr>
              <w:t>consum/de producere</w:t>
            </w:r>
            <w:r w:rsidRPr="002C4FB3">
              <w:rPr>
                <w:rFonts w:eastAsia="Times New Roman"/>
                <w:color w:val="000000"/>
                <w:sz w:val="16"/>
                <w:szCs w:val="16"/>
                <w:lang w:val="en-US"/>
              </w:rPr>
              <w:t xml:space="preserve"> și consum</w:t>
            </w:r>
          </w:p>
        </w:tc>
        <w:tc>
          <w:tcPr>
            <w:tcW w:w="1418" w:type="dxa"/>
            <w:shd w:val="clear" w:color="auto" w:fill="auto"/>
            <w:vAlign w:val="center"/>
            <w:hideMark/>
          </w:tcPr>
          <w:p w:rsidR="00825631" w:rsidRPr="002C4FB3" w:rsidRDefault="00825631" w:rsidP="00E35513">
            <w:pPr>
              <w:jc w:val="center"/>
              <w:rPr>
                <w:rFonts w:eastAsia="Times New Roman"/>
                <w:color w:val="000000"/>
                <w:sz w:val="16"/>
                <w:szCs w:val="16"/>
                <w:lang w:val="en-US"/>
              </w:rPr>
            </w:pPr>
            <w:r w:rsidRPr="002C4FB3">
              <w:rPr>
                <w:rFonts w:eastAsia="Times New Roman"/>
                <w:color w:val="000000"/>
                <w:sz w:val="16"/>
                <w:szCs w:val="16"/>
                <w:lang w:val="en-US"/>
              </w:rPr>
              <w:t xml:space="preserve">Nr de zile din anul de raportare pentru care </w:t>
            </w:r>
            <w:r w:rsidR="002C4FB3" w:rsidRPr="002C4FB3">
              <w:rPr>
                <w:rFonts w:eastAsia="Times New Roman"/>
                <w:color w:val="000000"/>
                <w:sz w:val="16"/>
                <w:szCs w:val="16"/>
                <w:lang w:val="en-US"/>
              </w:rPr>
              <w:t xml:space="preserve">nu </w:t>
            </w:r>
            <w:r w:rsidRPr="002C4FB3">
              <w:rPr>
                <w:rFonts w:eastAsia="Times New Roman"/>
                <w:color w:val="000000"/>
                <w:sz w:val="16"/>
                <w:szCs w:val="16"/>
                <w:lang w:val="en-US"/>
              </w:rPr>
              <w:t xml:space="preserve">s-a </w:t>
            </w:r>
            <w:r w:rsidR="002C4FB3" w:rsidRPr="002C4FB3">
              <w:rPr>
                <w:rFonts w:eastAsia="Times New Roman"/>
                <w:color w:val="000000"/>
                <w:sz w:val="16"/>
                <w:szCs w:val="16"/>
                <w:lang w:val="en-US"/>
              </w:rPr>
              <w:t>efectu</w:t>
            </w:r>
            <w:r w:rsidRPr="002C4FB3">
              <w:rPr>
                <w:rFonts w:eastAsia="Times New Roman"/>
                <w:color w:val="000000"/>
                <w:sz w:val="16"/>
                <w:szCs w:val="16"/>
                <w:lang w:val="en-US"/>
              </w:rPr>
              <w:t xml:space="preserve">at </w:t>
            </w:r>
            <w:r w:rsidR="002C4FB3" w:rsidRPr="002C4FB3">
              <w:rPr>
                <w:rFonts w:eastAsia="Times New Roman"/>
                <w:color w:val="000000"/>
                <w:sz w:val="16"/>
                <w:szCs w:val="16"/>
                <w:lang w:val="en-US"/>
              </w:rPr>
              <w:t>transmitere de date de la locul de consum/</w:t>
            </w:r>
            <w:r w:rsidR="002C4FB3">
              <w:rPr>
                <w:rFonts w:eastAsia="Times New Roman"/>
                <w:color w:val="000000"/>
                <w:sz w:val="16"/>
                <w:szCs w:val="16"/>
                <w:lang w:val="en-US"/>
              </w:rPr>
              <w:t xml:space="preserve"> </w:t>
            </w:r>
            <w:r w:rsidR="002C4FB3" w:rsidRPr="002C4FB3">
              <w:rPr>
                <w:rFonts w:eastAsia="Times New Roman"/>
                <w:color w:val="000000"/>
                <w:sz w:val="16"/>
                <w:szCs w:val="16"/>
                <w:lang w:val="en-US"/>
              </w:rPr>
              <w:t>producere și consum/</w:t>
            </w:r>
            <w:r w:rsidR="002C4FB3">
              <w:rPr>
                <w:rFonts w:eastAsia="Times New Roman"/>
                <w:color w:val="000000"/>
                <w:sz w:val="16"/>
                <w:szCs w:val="16"/>
                <w:lang w:val="en-US"/>
              </w:rPr>
              <w:t xml:space="preserve"> </w:t>
            </w:r>
            <w:r w:rsidR="002C4FB3" w:rsidRPr="002C4FB3">
              <w:rPr>
                <w:rFonts w:eastAsia="Times New Roman"/>
                <w:color w:val="000000"/>
                <w:sz w:val="16"/>
                <w:szCs w:val="16"/>
                <w:lang w:val="en-US"/>
              </w:rPr>
              <w:t>concentartor la HES/MDMS</w:t>
            </w:r>
          </w:p>
        </w:tc>
      </w:tr>
      <w:tr w:rsidR="00825631" w:rsidRPr="00E35513" w:rsidTr="00CF6C86">
        <w:trPr>
          <w:trHeight w:val="300"/>
        </w:trPr>
        <w:tc>
          <w:tcPr>
            <w:tcW w:w="1135" w:type="dxa"/>
            <w:shd w:val="clear" w:color="auto" w:fill="auto"/>
            <w:noWrap/>
            <w:vAlign w:val="center"/>
            <w:hideMark/>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1</w:t>
            </w:r>
          </w:p>
        </w:tc>
        <w:tc>
          <w:tcPr>
            <w:tcW w:w="992" w:type="dxa"/>
            <w:shd w:val="clear" w:color="auto" w:fill="auto"/>
            <w:noWrap/>
            <w:vAlign w:val="center"/>
            <w:hideMark/>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2</w:t>
            </w:r>
          </w:p>
        </w:tc>
        <w:tc>
          <w:tcPr>
            <w:tcW w:w="992" w:type="dxa"/>
            <w:shd w:val="clear" w:color="auto" w:fill="auto"/>
            <w:noWrap/>
            <w:vAlign w:val="center"/>
            <w:hideMark/>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3</w:t>
            </w:r>
          </w:p>
        </w:tc>
        <w:tc>
          <w:tcPr>
            <w:tcW w:w="709" w:type="dxa"/>
            <w:shd w:val="clear" w:color="auto" w:fill="auto"/>
            <w:noWrap/>
            <w:vAlign w:val="center"/>
            <w:hideMark/>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4</w:t>
            </w:r>
          </w:p>
        </w:tc>
        <w:tc>
          <w:tcPr>
            <w:tcW w:w="992" w:type="dxa"/>
            <w:vAlign w:val="center"/>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5</w:t>
            </w:r>
          </w:p>
        </w:tc>
        <w:tc>
          <w:tcPr>
            <w:tcW w:w="709" w:type="dxa"/>
            <w:shd w:val="clear" w:color="auto" w:fill="auto"/>
            <w:noWrap/>
            <w:vAlign w:val="center"/>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6</w:t>
            </w:r>
          </w:p>
        </w:tc>
        <w:tc>
          <w:tcPr>
            <w:tcW w:w="1276" w:type="dxa"/>
            <w:shd w:val="clear" w:color="auto" w:fill="auto"/>
            <w:noWrap/>
            <w:vAlign w:val="center"/>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7</w:t>
            </w:r>
          </w:p>
        </w:tc>
        <w:tc>
          <w:tcPr>
            <w:tcW w:w="1275" w:type="dxa"/>
            <w:shd w:val="clear" w:color="auto" w:fill="auto"/>
            <w:noWrap/>
            <w:vAlign w:val="center"/>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8</w:t>
            </w:r>
          </w:p>
        </w:tc>
        <w:tc>
          <w:tcPr>
            <w:tcW w:w="1276" w:type="dxa"/>
            <w:shd w:val="clear" w:color="auto" w:fill="auto"/>
            <w:noWrap/>
            <w:vAlign w:val="center"/>
          </w:tcPr>
          <w:p w:rsidR="00825631" w:rsidRPr="00E35513" w:rsidRDefault="00825631" w:rsidP="00825631">
            <w:pPr>
              <w:jc w:val="center"/>
              <w:rPr>
                <w:rFonts w:eastAsia="Times New Roman"/>
                <w:color w:val="000000"/>
                <w:sz w:val="18"/>
                <w:szCs w:val="18"/>
                <w:lang w:val="en-US"/>
              </w:rPr>
            </w:pPr>
            <w:r w:rsidRPr="00E35513">
              <w:rPr>
                <w:rFonts w:eastAsia="Times New Roman"/>
                <w:color w:val="000000"/>
                <w:sz w:val="18"/>
                <w:szCs w:val="18"/>
                <w:lang w:val="en-US"/>
              </w:rPr>
              <w:t>9</w:t>
            </w:r>
          </w:p>
        </w:tc>
        <w:tc>
          <w:tcPr>
            <w:tcW w:w="1418" w:type="dxa"/>
            <w:shd w:val="clear" w:color="auto" w:fill="auto"/>
            <w:noWrap/>
            <w:vAlign w:val="center"/>
          </w:tcPr>
          <w:p w:rsidR="00825631" w:rsidRPr="00E35513" w:rsidRDefault="00924CF6" w:rsidP="00825631">
            <w:pPr>
              <w:jc w:val="center"/>
              <w:rPr>
                <w:rFonts w:eastAsia="Times New Roman"/>
                <w:color w:val="000000"/>
                <w:sz w:val="18"/>
                <w:szCs w:val="18"/>
                <w:lang w:val="en-US"/>
              </w:rPr>
            </w:pPr>
            <w:r>
              <w:rPr>
                <w:rFonts w:eastAsia="Times New Roman"/>
                <w:color w:val="000000"/>
                <w:sz w:val="18"/>
                <w:szCs w:val="18"/>
                <w:lang w:val="en-US"/>
              </w:rPr>
              <w:t>10</w:t>
            </w:r>
          </w:p>
        </w:tc>
      </w:tr>
    </w:tbl>
    <w:p w:rsidR="00E35513" w:rsidRDefault="00E35513" w:rsidP="00B425E9">
      <w:pPr>
        <w:spacing w:before="120" w:line="276" w:lineRule="auto"/>
        <w:jc w:val="both"/>
      </w:pPr>
      <w:r w:rsidRPr="00E35513">
        <w:rPr>
          <w:b/>
        </w:rPr>
        <w:t>Notă:</w:t>
      </w:r>
      <w:r>
        <w:t xml:space="preserve"> tabelul va fi transmis completat cu datele aferente anului de raportare în format Excel</w:t>
      </w:r>
      <w:r w:rsidR="00824DD7">
        <w:t>. Se va completa câte o foaie distinctă pentru fiecare județ din zona de concesiune.</w:t>
      </w:r>
    </w:p>
    <w:p w:rsidR="009137F6" w:rsidRPr="002A2B75" w:rsidRDefault="009137F6" w:rsidP="00B425E9">
      <w:pPr>
        <w:spacing w:before="120" w:line="276" w:lineRule="auto"/>
        <w:jc w:val="both"/>
        <w:sectPr w:rsidR="009137F6" w:rsidRPr="002A2B75" w:rsidSect="00FD130D">
          <w:pgSz w:w="12240" w:h="15840"/>
          <w:pgMar w:top="709" w:right="900" w:bottom="709" w:left="1134" w:header="0" w:footer="6" w:gutter="0"/>
          <w:cols w:space="708"/>
          <w:noEndnote/>
          <w:docGrid w:linePitch="360"/>
        </w:sectPr>
      </w:pPr>
    </w:p>
    <w:p w:rsidR="00FD476F" w:rsidRPr="000B15C9" w:rsidRDefault="00FD476F" w:rsidP="00FD476F">
      <w:pPr>
        <w:keepNext/>
        <w:keepLines/>
        <w:suppressAutoHyphens/>
        <w:autoSpaceDN w:val="0"/>
        <w:spacing w:before="120"/>
        <w:jc w:val="right"/>
        <w:textAlignment w:val="baseline"/>
        <w:outlineLvl w:val="0"/>
        <w:rPr>
          <w:rFonts w:eastAsiaTheme="majorEastAsia" w:cstheme="majorBidi"/>
          <w:b/>
        </w:rPr>
      </w:pPr>
      <w:r w:rsidRPr="000B15C9">
        <w:rPr>
          <w:rFonts w:eastAsiaTheme="majorEastAsia" w:cstheme="majorBidi"/>
          <w:b/>
        </w:rPr>
        <w:lastRenderedPageBreak/>
        <w:t xml:space="preserve">Anexa </w:t>
      </w:r>
      <w:r w:rsidR="008B16C6">
        <w:rPr>
          <w:rFonts w:eastAsiaTheme="majorEastAsia" w:cstheme="majorBidi"/>
          <w:b/>
        </w:rPr>
        <w:t>3</w:t>
      </w:r>
    </w:p>
    <w:p w:rsidR="00FD476F" w:rsidRPr="000B15C9" w:rsidRDefault="00FD476F" w:rsidP="00FD476F">
      <w:pPr>
        <w:keepNext/>
        <w:keepLines/>
        <w:suppressAutoHyphens/>
        <w:autoSpaceDN w:val="0"/>
        <w:spacing w:before="120" w:line="360" w:lineRule="auto"/>
        <w:jc w:val="right"/>
        <w:textAlignment w:val="baseline"/>
        <w:outlineLvl w:val="0"/>
        <w:rPr>
          <w:rFonts w:eastAsiaTheme="majorEastAsia" w:cstheme="majorBidi"/>
          <w:b/>
        </w:rPr>
      </w:pPr>
      <w:r w:rsidRPr="000B15C9">
        <w:rPr>
          <w:rFonts w:eastAsiaTheme="majorEastAsia" w:cstheme="majorBidi"/>
          <w:b/>
        </w:rPr>
        <w:t xml:space="preserve">(Anexa nr. </w:t>
      </w:r>
      <w:r>
        <w:rPr>
          <w:rFonts w:eastAsiaTheme="majorEastAsia" w:cstheme="majorBidi"/>
          <w:b/>
        </w:rPr>
        <w:t>6</w:t>
      </w:r>
      <w:r w:rsidRPr="000B15C9">
        <w:rPr>
          <w:rFonts w:eastAsiaTheme="majorEastAsia" w:cstheme="majorBidi"/>
          <w:b/>
        </w:rPr>
        <w:t xml:space="preserve"> la Condițile</w:t>
      </w:r>
      <w:r w:rsidR="00156398">
        <w:rPr>
          <w:rFonts w:eastAsiaTheme="majorEastAsia" w:cstheme="majorBidi"/>
          <w:b/>
        </w:rPr>
        <w:t xml:space="preserve"> </w:t>
      </w:r>
      <w:r w:rsidRPr="000B15C9">
        <w:rPr>
          <w:rFonts w:eastAsiaTheme="majorEastAsia" w:cstheme="majorBidi"/>
          <w:b/>
        </w:rPr>
        <w:t>-</w:t>
      </w:r>
      <w:r w:rsidR="00156398">
        <w:rPr>
          <w:rFonts w:eastAsiaTheme="majorEastAsia" w:cstheme="majorBidi"/>
          <w:b/>
        </w:rPr>
        <w:t xml:space="preserve"> </w:t>
      </w:r>
      <w:r w:rsidRPr="000B15C9">
        <w:rPr>
          <w:rFonts w:eastAsiaTheme="majorEastAsia" w:cstheme="majorBidi"/>
          <w:b/>
        </w:rPr>
        <w:t xml:space="preserve">cadru) </w:t>
      </w:r>
    </w:p>
    <w:p w:rsidR="00FD476F" w:rsidRPr="00FD476F" w:rsidRDefault="00FD476F" w:rsidP="00FD476F">
      <w:pPr>
        <w:spacing w:line="360" w:lineRule="auto"/>
        <w:ind w:left="-284" w:right="-283"/>
        <w:jc w:val="center"/>
        <w:rPr>
          <w:b/>
        </w:rPr>
      </w:pPr>
      <w:r w:rsidRPr="00FD476F">
        <w:rPr>
          <w:b/>
        </w:rPr>
        <w:t>Structura memoriului justificativ și a analizei cost-benefici</w:t>
      </w:r>
      <w:r w:rsidR="0064223A">
        <w:rPr>
          <w:b/>
        </w:rPr>
        <w:t>u</w:t>
      </w:r>
    </w:p>
    <w:p w:rsidR="00DA7D30" w:rsidRPr="00FD476F" w:rsidRDefault="00FD476F" w:rsidP="00FD476F">
      <w:pPr>
        <w:spacing w:line="360" w:lineRule="auto"/>
        <w:ind w:left="-284" w:right="-283"/>
        <w:jc w:val="center"/>
        <w:rPr>
          <w:b/>
        </w:rPr>
      </w:pPr>
      <w:r w:rsidRPr="00FD476F">
        <w:rPr>
          <w:b/>
        </w:rPr>
        <w:t>pentru fundamentarea propunerilor de modificare a calendarului de implementare a SMI</w:t>
      </w:r>
    </w:p>
    <w:p w:rsidR="00FD476F" w:rsidRPr="00DD465F" w:rsidRDefault="00FD476F" w:rsidP="00094097">
      <w:pPr>
        <w:pStyle w:val="ListParagraph"/>
        <w:numPr>
          <w:ilvl w:val="0"/>
          <w:numId w:val="32"/>
        </w:numPr>
        <w:spacing w:line="360" w:lineRule="auto"/>
        <w:ind w:left="284"/>
        <w:jc w:val="both"/>
        <w:rPr>
          <w:b/>
        </w:rPr>
      </w:pPr>
      <w:r w:rsidRPr="00DD465F">
        <w:rPr>
          <w:b/>
        </w:rPr>
        <w:t>Memoriul justificativ</w:t>
      </w:r>
    </w:p>
    <w:p w:rsidR="00E20437" w:rsidRPr="00094097" w:rsidRDefault="00E20437" w:rsidP="00094097">
      <w:pPr>
        <w:pStyle w:val="ListParagraph"/>
        <w:spacing w:line="360" w:lineRule="auto"/>
        <w:ind w:left="284"/>
        <w:jc w:val="both"/>
        <w:rPr>
          <w:b/>
          <w:i/>
        </w:rPr>
      </w:pPr>
      <w:r w:rsidRPr="00094097">
        <w:rPr>
          <w:b/>
          <w:i/>
        </w:rPr>
        <w:t xml:space="preserve">A.1. </w:t>
      </w:r>
      <w:r w:rsidR="00982870" w:rsidRPr="00094097">
        <w:rPr>
          <w:b/>
          <w:i/>
        </w:rPr>
        <w:t>Scurtă prezentare a realizărilor privind implementarea SMI de la aprobarea calendarului până în anul curent</w:t>
      </w:r>
      <w:r w:rsidR="009B5F61" w:rsidRPr="00094097">
        <w:rPr>
          <w:b/>
          <w:i/>
        </w:rPr>
        <w:t>:</w:t>
      </w:r>
    </w:p>
    <w:p w:rsidR="009B5F61" w:rsidRDefault="009B5F61" w:rsidP="00094097">
      <w:pPr>
        <w:pStyle w:val="ListParagraph"/>
        <w:numPr>
          <w:ilvl w:val="0"/>
          <w:numId w:val="33"/>
        </w:numPr>
        <w:spacing w:line="360" w:lineRule="auto"/>
        <w:ind w:left="993"/>
        <w:jc w:val="both"/>
      </w:pPr>
      <w:r>
        <w:t xml:space="preserve">gradul de realizare a obligațiilor de implementare prevăzute în calendarul de implementare a SMI aprobat relativ la: numărul de </w:t>
      </w:r>
      <w:r w:rsidR="00E83343">
        <w:t xml:space="preserve">locuri de </w:t>
      </w:r>
      <w:r w:rsidR="009137F6">
        <w:t>consum/de producere</w:t>
      </w:r>
      <w:r w:rsidR="00E83343">
        <w:t xml:space="preserve"> și consum</w:t>
      </w:r>
      <w:r>
        <w:t xml:space="preserve"> integra</w:t>
      </w:r>
      <w:r w:rsidR="00E83343">
        <w:t>te</w:t>
      </w:r>
      <w:r>
        <w:t xml:space="preserve"> în SMI, costul unitar mediu de implementare</w:t>
      </w:r>
      <w:r w:rsidR="00C30FD9">
        <w:t xml:space="preserve"> realizat și variația acestuia față de valoarea planificată conform analizei cost-benefici</w:t>
      </w:r>
      <w:r w:rsidR="0064223A">
        <w:t>u</w:t>
      </w:r>
      <w:r w:rsidR="00C30FD9">
        <w:t xml:space="preserve"> pentru fundamentarea calendarului aprobat</w:t>
      </w:r>
      <w:r>
        <w:t xml:space="preserve">, </w:t>
      </w:r>
      <w:r w:rsidR="00523C15">
        <w:t>nivelul beneficiilor realizate</w:t>
      </w:r>
      <w:r w:rsidR="00C30FD9">
        <w:t xml:space="preserve"> față de valorile medii unitare planificate (luate în considerare în analiza cost-beneficii pentru fundamentarea calendarului aprobat)</w:t>
      </w:r>
      <w:r w:rsidR="00523C15">
        <w:t>;</w:t>
      </w:r>
    </w:p>
    <w:p w:rsidR="009B5F61" w:rsidRDefault="009B5F61" w:rsidP="00094097">
      <w:pPr>
        <w:pStyle w:val="ListParagraph"/>
        <w:numPr>
          <w:ilvl w:val="0"/>
          <w:numId w:val="33"/>
        </w:numPr>
        <w:spacing w:line="360" w:lineRule="auto"/>
        <w:ind w:left="993"/>
        <w:jc w:val="both"/>
      </w:pPr>
      <w:r>
        <w:t>problemele întâmpinate în procesul de implementare: de natură tehnică, de natură administrativ-organizatoric</w:t>
      </w:r>
      <w:r w:rsidR="00523C15">
        <w:t>ă</w:t>
      </w:r>
      <w:r>
        <w:t>, de natură comercială</w:t>
      </w:r>
      <w:r w:rsidR="00C30FD9">
        <w:t xml:space="preserve"> ș.a.</w:t>
      </w:r>
      <w:r w:rsidR="00523C15">
        <w:t>;</w:t>
      </w:r>
    </w:p>
    <w:p w:rsidR="009B5F61" w:rsidRDefault="00523C15" w:rsidP="00094097">
      <w:pPr>
        <w:pStyle w:val="ListParagraph"/>
        <w:numPr>
          <w:ilvl w:val="0"/>
          <w:numId w:val="33"/>
        </w:numPr>
        <w:spacing w:line="360" w:lineRule="auto"/>
        <w:ind w:left="993"/>
        <w:jc w:val="both"/>
      </w:pPr>
      <w:r>
        <w:t xml:space="preserve">aspecte relevante, elemente de noutate apărute în </w:t>
      </w:r>
      <w:r w:rsidR="008A2C4B">
        <w:t>zona de concesiune care au modificat semnificativ contextul desfășurării procesului de implementare a SMI față de situația existentă la ultima aprobare a calendarului de implementare.</w:t>
      </w:r>
    </w:p>
    <w:p w:rsidR="00982870" w:rsidRPr="00094097" w:rsidRDefault="00982870" w:rsidP="00094097">
      <w:pPr>
        <w:pStyle w:val="ListParagraph"/>
        <w:spacing w:line="360" w:lineRule="auto"/>
        <w:ind w:left="284"/>
        <w:jc w:val="both"/>
        <w:rPr>
          <w:b/>
          <w:i/>
        </w:rPr>
      </w:pPr>
      <w:r w:rsidRPr="00094097">
        <w:rPr>
          <w:b/>
          <w:i/>
        </w:rPr>
        <w:t xml:space="preserve">A.2. </w:t>
      </w:r>
      <w:r w:rsidR="00523C15" w:rsidRPr="00094097">
        <w:rPr>
          <w:b/>
          <w:i/>
        </w:rPr>
        <w:t>Prezentarea motivelor pentru care se solicită modificarea calendarului</w:t>
      </w:r>
      <w:r w:rsidR="008A2C4B" w:rsidRPr="00094097">
        <w:rPr>
          <w:b/>
          <w:i/>
        </w:rPr>
        <w:t>.</w:t>
      </w:r>
    </w:p>
    <w:p w:rsidR="00523C15" w:rsidRPr="00E56D6B" w:rsidRDefault="00523C15" w:rsidP="00094097">
      <w:pPr>
        <w:pStyle w:val="ListParagraph"/>
        <w:spacing w:line="360" w:lineRule="auto"/>
        <w:ind w:left="284"/>
        <w:jc w:val="both"/>
      </w:pPr>
      <w:r w:rsidRPr="00094097">
        <w:rPr>
          <w:b/>
          <w:i/>
        </w:rPr>
        <w:t>A.3. Justificarea/argumentarea propunerii de modificare a calenda</w:t>
      </w:r>
      <w:r w:rsidR="008A2C4B" w:rsidRPr="00094097">
        <w:rPr>
          <w:b/>
          <w:i/>
        </w:rPr>
        <w:t>r</w:t>
      </w:r>
      <w:r w:rsidRPr="00094097">
        <w:rPr>
          <w:b/>
          <w:i/>
        </w:rPr>
        <w:t xml:space="preserve">ului: relativ la dinamica procesului de implementare, respectiv eșalonarea numărului de </w:t>
      </w:r>
      <w:r w:rsidR="0029491E">
        <w:rPr>
          <w:b/>
          <w:i/>
        </w:rPr>
        <w:t>locuri de consum/de producere și consum</w:t>
      </w:r>
      <w:r w:rsidRPr="00094097">
        <w:rPr>
          <w:b/>
          <w:i/>
        </w:rPr>
        <w:t xml:space="preserve"> propus pentru integrarea în SMI, relativ la costurile cu implementarea propuse</w:t>
      </w:r>
      <w:r w:rsidR="008A2C4B" w:rsidRPr="00094097">
        <w:rPr>
          <w:b/>
          <w:i/>
        </w:rPr>
        <w:t>.</w:t>
      </w:r>
      <w:r w:rsidR="00E56D6B">
        <w:t xml:space="preserve"> În justificarea propunerii de modificare a calendarului, la întocmirea memoriului cu date privind costurile și beneficiile estimate</w:t>
      </w:r>
      <w:r w:rsidR="00303A84">
        <w:t>,</w:t>
      </w:r>
      <w:r w:rsidR="00E56D6B">
        <w:t xml:space="preserve"> se va avea în vedere corelarea propunerilor </w:t>
      </w:r>
      <w:r w:rsidR="00303A84">
        <w:t xml:space="preserve">formulate </w:t>
      </w:r>
      <w:r w:rsidR="00E56D6B">
        <w:t>cu rezultatele înregistrate pe parcursul procesului de implementare a SMI și raportate în procesul de monitorizare.</w:t>
      </w:r>
      <w:r w:rsidR="00852372">
        <w:t xml:space="preserve"> Acolo unde apar diferențe semnificative între valorile precedente (istorice) și propunerile estimărilor actualizate, se vor prezenta detaliat motivele și condițiile specifice care justifică aceste diferențe.</w:t>
      </w:r>
    </w:p>
    <w:p w:rsidR="00FD476F" w:rsidRPr="00DD465F" w:rsidRDefault="00E20437" w:rsidP="00094097">
      <w:pPr>
        <w:pStyle w:val="ListParagraph"/>
        <w:numPr>
          <w:ilvl w:val="0"/>
          <w:numId w:val="32"/>
        </w:numPr>
        <w:spacing w:line="360" w:lineRule="auto"/>
        <w:ind w:left="284"/>
        <w:jc w:val="both"/>
        <w:rPr>
          <w:b/>
        </w:rPr>
      </w:pPr>
      <w:r w:rsidRPr="00DD465F">
        <w:rPr>
          <w:b/>
        </w:rPr>
        <w:t>Analiza cost-beneficii</w:t>
      </w:r>
    </w:p>
    <w:p w:rsidR="008A2C4B" w:rsidRPr="00094097" w:rsidRDefault="008A2C4B" w:rsidP="00094097">
      <w:pPr>
        <w:pStyle w:val="ListParagraph"/>
        <w:spacing w:line="360" w:lineRule="auto"/>
        <w:ind w:left="284"/>
        <w:jc w:val="both"/>
        <w:rPr>
          <w:b/>
          <w:i/>
        </w:rPr>
      </w:pPr>
      <w:r w:rsidRPr="00094097">
        <w:rPr>
          <w:b/>
          <w:i/>
        </w:rPr>
        <w:t>B.1</w:t>
      </w:r>
      <w:r w:rsidR="00B5323E" w:rsidRPr="00094097">
        <w:rPr>
          <w:b/>
          <w:i/>
        </w:rPr>
        <w:t>.</w:t>
      </w:r>
      <w:r w:rsidRPr="00094097">
        <w:rPr>
          <w:b/>
          <w:i/>
        </w:rPr>
        <w:t xml:space="preserve"> Structura de costuri</w:t>
      </w:r>
      <w:r w:rsidR="00B5323E" w:rsidRPr="00094097">
        <w:rPr>
          <w:b/>
          <w:i/>
        </w:rPr>
        <w:t xml:space="preserve"> (nu </w:t>
      </w:r>
      <w:r w:rsidR="00EB7D20">
        <w:rPr>
          <w:b/>
          <w:i/>
        </w:rPr>
        <w:t xml:space="preserve">este </w:t>
      </w:r>
      <w:r w:rsidR="00B5323E" w:rsidRPr="00094097">
        <w:rPr>
          <w:b/>
          <w:i/>
        </w:rPr>
        <w:t>exhaustivă)</w:t>
      </w:r>
      <w:r w:rsidR="00DD465F" w:rsidRPr="00094097">
        <w:rPr>
          <w:b/>
          <w:i/>
        </w:rPr>
        <w:t>:</w:t>
      </w:r>
    </w:p>
    <w:p w:rsidR="00DD465F" w:rsidRPr="00FB5D0D" w:rsidRDefault="003E5218" w:rsidP="00FB5D0D">
      <w:pPr>
        <w:pStyle w:val="ListParagraph"/>
        <w:numPr>
          <w:ilvl w:val="0"/>
          <w:numId w:val="38"/>
        </w:numPr>
        <w:spacing w:line="360" w:lineRule="auto"/>
        <w:jc w:val="both"/>
        <w:rPr>
          <w:b/>
        </w:rPr>
      </w:pPr>
      <w:r w:rsidRPr="00FB5D0D">
        <w:rPr>
          <w:b/>
        </w:rPr>
        <w:t xml:space="preserve">Costuri </w:t>
      </w:r>
      <w:r w:rsidR="00DD465F" w:rsidRPr="00FB5D0D">
        <w:rPr>
          <w:b/>
        </w:rPr>
        <w:t>de capital (CAPEX):</w:t>
      </w:r>
    </w:p>
    <w:p w:rsidR="00DD465F" w:rsidRDefault="00DD465F" w:rsidP="00094097">
      <w:pPr>
        <w:pStyle w:val="ListParagraph"/>
        <w:numPr>
          <w:ilvl w:val="1"/>
          <w:numId w:val="34"/>
        </w:numPr>
        <w:spacing w:line="360" w:lineRule="auto"/>
        <w:ind w:left="1418"/>
        <w:jc w:val="both"/>
      </w:pPr>
      <w:r>
        <w:t>costuri cu achiziția, montarea și configurarea contoarelor</w:t>
      </w:r>
      <w:r w:rsidR="0029491E">
        <w:t>;</w:t>
      </w:r>
    </w:p>
    <w:p w:rsidR="00DD465F" w:rsidRDefault="00DD465F" w:rsidP="00094097">
      <w:pPr>
        <w:pStyle w:val="ListParagraph"/>
        <w:numPr>
          <w:ilvl w:val="1"/>
          <w:numId w:val="34"/>
        </w:numPr>
        <w:spacing w:line="360" w:lineRule="auto"/>
        <w:ind w:left="1418"/>
        <w:jc w:val="both"/>
      </w:pPr>
      <w:r>
        <w:t>costuri cu achiziția, montarea și configurarea concentratoarelor de date</w:t>
      </w:r>
      <w:r w:rsidR="0029491E">
        <w:t>;</w:t>
      </w:r>
    </w:p>
    <w:p w:rsidR="00DD465F" w:rsidRDefault="00DD465F" w:rsidP="00094097">
      <w:pPr>
        <w:pStyle w:val="ListParagraph"/>
        <w:numPr>
          <w:ilvl w:val="1"/>
          <w:numId w:val="34"/>
        </w:numPr>
        <w:spacing w:line="360" w:lineRule="auto"/>
        <w:ind w:left="1418"/>
        <w:jc w:val="both"/>
      </w:pPr>
      <w:r>
        <w:lastRenderedPageBreak/>
        <w:t xml:space="preserve">costuri cu achiziția, montarea și configurarea echipamentelor </w:t>
      </w:r>
      <w:r w:rsidR="00D144CC">
        <w:t>pentru asigurarea</w:t>
      </w:r>
      <w:r>
        <w:t xml:space="preserve"> comunicați</w:t>
      </w:r>
      <w:r w:rsidR="00D144CC">
        <w:t>ei</w:t>
      </w:r>
      <w:r>
        <w:t xml:space="preserve"> și achiziție</w:t>
      </w:r>
      <w:r w:rsidR="00D144CC">
        <w:t>i</w:t>
      </w:r>
      <w:r>
        <w:t>, validar</w:t>
      </w:r>
      <w:r w:rsidR="00D144CC">
        <w:t>ării</w:t>
      </w:r>
      <w:r>
        <w:t>, stoc</w:t>
      </w:r>
      <w:r w:rsidR="00D144CC">
        <w:t>ă</w:t>
      </w:r>
      <w:r>
        <w:t>r</w:t>
      </w:r>
      <w:r w:rsidR="00D144CC">
        <w:t>ii</w:t>
      </w:r>
      <w:r>
        <w:t xml:space="preserve"> și prelucr</w:t>
      </w:r>
      <w:r w:rsidR="00D144CC">
        <w:t>ării</w:t>
      </w:r>
      <w:r>
        <w:t xml:space="preserve"> datelor colectate </w:t>
      </w:r>
      <w:r w:rsidR="000C1665">
        <w:t xml:space="preserve">de </w:t>
      </w:r>
      <w:r>
        <w:t>la locurile de consum</w:t>
      </w:r>
      <w:r w:rsidR="00D144CC">
        <w:t xml:space="preserve"> și tranzitate prin elementele SMI</w:t>
      </w:r>
      <w:r w:rsidR="0029491E">
        <w:t>;</w:t>
      </w:r>
    </w:p>
    <w:p w:rsidR="003E5218" w:rsidRDefault="003E5218" w:rsidP="00094097">
      <w:pPr>
        <w:pStyle w:val="ListParagraph"/>
        <w:numPr>
          <w:ilvl w:val="1"/>
          <w:numId w:val="34"/>
        </w:numPr>
        <w:spacing w:line="360" w:lineRule="auto"/>
        <w:ind w:left="1418"/>
        <w:jc w:val="both"/>
      </w:pPr>
      <w:r>
        <w:t>costuri efectuate în rețelele în care urmează să se integreze SMI pentru asigurarea condițiilor necesare realizării comunicației</w:t>
      </w:r>
      <w:r w:rsidR="00C30FD9">
        <w:t xml:space="preserve"> de date</w:t>
      </w:r>
      <w:r w:rsidR="00852372">
        <w:t xml:space="preserve"> conform prevederilor din condițiile - cadru</w:t>
      </w:r>
      <w:r w:rsidR="0029491E">
        <w:t>.</w:t>
      </w:r>
    </w:p>
    <w:p w:rsidR="00DD465F" w:rsidRPr="00FB5D0D" w:rsidRDefault="00DD465F" w:rsidP="00FB5D0D">
      <w:pPr>
        <w:pStyle w:val="ListParagraph"/>
        <w:numPr>
          <w:ilvl w:val="0"/>
          <w:numId w:val="39"/>
        </w:numPr>
        <w:spacing w:line="360" w:lineRule="auto"/>
        <w:jc w:val="both"/>
        <w:rPr>
          <w:b/>
        </w:rPr>
      </w:pPr>
      <w:r w:rsidRPr="00FB5D0D">
        <w:rPr>
          <w:b/>
        </w:rPr>
        <w:t>Costuri operaționale (OPEX):</w:t>
      </w:r>
    </w:p>
    <w:p w:rsidR="00F55ED2" w:rsidRDefault="00F55ED2" w:rsidP="00094097">
      <w:pPr>
        <w:pStyle w:val="ListParagraph"/>
        <w:numPr>
          <w:ilvl w:val="1"/>
          <w:numId w:val="34"/>
        </w:numPr>
        <w:spacing w:line="360" w:lineRule="auto"/>
        <w:ind w:left="1418"/>
        <w:jc w:val="both"/>
      </w:pPr>
      <w:r>
        <w:t xml:space="preserve">costuri </w:t>
      </w:r>
      <w:r w:rsidR="00852372">
        <w:t xml:space="preserve">cu </w:t>
      </w:r>
      <w:r w:rsidR="0029491E">
        <w:t xml:space="preserve">mentenanța și </w:t>
      </w:r>
      <w:r>
        <w:t>cu înloc</w:t>
      </w:r>
      <w:r w:rsidR="00BA4D57">
        <w:t>u</w:t>
      </w:r>
      <w:r>
        <w:t xml:space="preserve">irea </w:t>
      </w:r>
      <w:r w:rsidR="00D61C77">
        <w:t xml:space="preserve">echipamentelor </w:t>
      </w:r>
      <w:r>
        <w:t>defecte</w:t>
      </w:r>
      <w:r w:rsidR="00C30FD9">
        <w:t>, respectiv cu repunerea în funcțiune ca urmare a defectării</w:t>
      </w:r>
      <w:r w:rsidR="00D61C77">
        <w:t xml:space="preserve"> (contoare, modulele de comunicații, concentratoare etc.)</w:t>
      </w:r>
      <w:r w:rsidR="0029491E">
        <w:t>;</w:t>
      </w:r>
    </w:p>
    <w:p w:rsidR="00F55ED2" w:rsidRDefault="00F55ED2" w:rsidP="00094097">
      <w:pPr>
        <w:pStyle w:val="ListParagraph"/>
        <w:numPr>
          <w:ilvl w:val="1"/>
          <w:numId w:val="34"/>
        </w:numPr>
        <w:spacing w:line="360" w:lineRule="auto"/>
        <w:ind w:left="1418"/>
        <w:jc w:val="both"/>
      </w:pPr>
      <w:r>
        <w:t>costuri cu mentenanța si</w:t>
      </w:r>
      <w:r w:rsidR="001F055B">
        <w:t>s</w:t>
      </w:r>
      <w:r>
        <w:t>temelor informatice</w:t>
      </w:r>
      <w:r w:rsidR="001F055B">
        <w:t xml:space="preserve"> și de comunicații</w:t>
      </w:r>
      <w:r w:rsidR="0029491E">
        <w:t>;</w:t>
      </w:r>
    </w:p>
    <w:p w:rsidR="001F055B" w:rsidRDefault="001F055B" w:rsidP="00094097">
      <w:pPr>
        <w:pStyle w:val="ListParagraph"/>
        <w:numPr>
          <w:ilvl w:val="1"/>
          <w:numId w:val="34"/>
        </w:numPr>
        <w:spacing w:line="360" w:lineRule="auto"/>
        <w:ind w:left="1418"/>
        <w:jc w:val="both"/>
      </w:pPr>
      <w:r>
        <w:t>costuri cu citirea contoarelor de la care nu s-a realizat transferul automat de date</w:t>
      </w:r>
      <w:r w:rsidR="0029491E">
        <w:t>;</w:t>
      </w:r>
    </w:p>
    <w:p w:rsidR="003E5218" w:rsidRDefault="003E5218" w:rsidP="00094097">
      <w:pPr>
        <w:pStyle w:val="ListParagraph"/>
        <w:numPr>
          <w:ilvl w:val="1"/>
          <w:numId w:val="34"/>
        </w:numPr>
        <w:spacing w:line="360" w:lineRule="auto"/>
        <w:ind w:left="1418"/>
        <w:jc w:val="both"/>
      </w:pPr>
      <w:r>
        <w:t>costuri cu deconectări/reconectări care nu au putut fi realizate de la distanță</w:t>
      </w:r>
      <w:r w:rsidR="0029491E">
        <w:t>;</w:t>
      </w:r>
    </w:p>
    <w:p w:rsidR="001F055B" w:rsidRDefault="001F055B" w:rsidP="00094097">
      <w:pPr>
        <w:pStyle w:val="ListParagraph"/>
        <w:numPr>
          <w:ilvl w:val="1"/>
          <w:numId w:val="34"/>
        </w:numPr>
        <w:spacing w:line="360" w:lineRule="auto"/>
        <w:ind w:left="1418"/>
        <w:jc w:val="both"/>
      </w:pPr>
      <w:r>
        <w:t>costuri adiționale cu informarea utilizatorilor</w:t>
      </w:r>
      <w:r w:rsidR="0029491E">
        <w:t>;</w:t>
      </w:r>
    </w:p>
    <w:p w:rsidR="005F6F0B" w:rsidRDefault="005F6F0B" w:rsidP="00094097">
      <w:pPr>
        <w:pStyle w:val="ListParagraph"/>
        <w:numPr>
          <w:ilvl w:val="1"/>
          <w:numId w:val="34"/>
        </w:numPr>
        <w:spacing w:line="360" w:lineRule="auto"/>
        <w:ind w:left="1418"/>
        <w:jc w:val="both"/>
      </w:pPr>
      <w:r>
        <w:t>costuri</w:t>
      </w:r>
      <w:r w:rsidR="00D61C77">
        <w:t xml:space="preserve"> cu comunicația de date (pentru locurile de consum cu comunicație punct-la-punct, pentru care nu a fost posibilă integrarea în SMI prin comunicația PLC și pentru comunicația de la concentratoare la subsistemul central)</w:t>
      </w:r>
      <w:r w:rsidR="0029491E">
        <w:t>.</w:t>
      </w:r>
    </w:p>
    <w:p w:rsidR="008A2C4B" w:rsidRPr="00094097" w:rsidRDefault="008A2C4B" w:rsidP="00094097">
      <w:pPr>
        <w:pStyle w:val="ListParagraph"/>
        <w:spacing w:line="360" w:lineRule="auto"/>
        <w:ind w:left="284"/>
        <w:jc w:val="both"/>
        <w:rPr>
          <w:b/>
          <w:i/>
        </w:rPr>
      </w:pPr>
      <w:r w:rsidRPr="00094097">
        <w:rPr>
          <w:b/>
          <w:i/>
        </w:rPr>
        <w:t>B.2</w:t>
      </w:r>
      <w:r w:rsidR="00B5323E" w:rsidRPr="00094097">
        <w:rPr>
          <w:b/>
          <w:i/>
        </w:rPr>
        <w:t>.</w:t>
      </w:r>
      <w:r w:rsidRPr="00094097">
        <w:rPr>
          <w:b/>
          <w:i/>
        </w:rPr>
        <w:t xml:space="preserve"> Structura de beneficii</w:t>
      </w:r>
      <w:r w:rsidR="000C1665" w:rsidRPr="00094097">
        <w:rPr>
          <w:b/>
          <w:i/>
        </w:rPr>
        <w:t xml:space="preserve"> (</w:t>
      </w:r>
      <w:r w:rsidR="00B5323E" w:rsidRPr="00094097">
        <w:rPr>
          <w:b/>
          <w:i/>
        </w:rPr>
        <w:t xml:space="preserve">nu </w:t>
      </w:r>
      <w:r w:rsidR="00EB7D20">
        <w:rPr>
          <w:b/>
          <w:i/>
        </w:rPr>
        <w:t xml:space="preserve">este </w:t>
      </w:r>
      <w:r w:rsidR="00B5323E" w:rsidRPr="00094097">
        <w:rPr>
          <w:b/>
          <w:i/>
        </w:rPr>
        <w:t>exhaustivă)</w:t>
      </w:r>
      <w:r w:rsidR="003E5218" w:rsidRPr="00094097">
        <w:rPr>
          <w:b/>
          <w:i/>
        </w:rPr>
        <w:t>:</w:t>
      </w:r>
    </w:p>
    <w:p w:rsidR="003E5218" w:rsidRDefault="003E5218" w:rsidP="00094097">
      <w:pPr>
        <w:pStyle w:val="ListParagraph"/>
        <w:numPr>
          <w:ilvl w:val="0"/>
          <w:numId w:val="36"/>
        </w:numPr>
        <w:spacing w:line="360" w:lineRule="auto"/>
        <w:ind w:left="993"/>
        <w:jc w:val="both"/>
      </w:pPr>
      <w:r>
        <w:t>reducerea costurilor cu citirea contoarelor</w:t>
      </w:r>
      <w:r w:rsidR="0029491E">
        <w:t>;</w:t>
      </w:r>
    </w:p>
    <w:p w:rsidR="003E5218" w:rsidRDefault="003E5218" w:rsidP="00094097">
      <w:pPr>
        <w:pStyle w:val="ListParagraph"/>
        <w:numPr>
          <w:ilvl w:val="0"/>
          <w:numId w:val="36"/>
        </w:numPr>
        <w:spacing w:line="360" w:lineRule="auto"/>
        <w:ind w:left="993"/>
        <w:jc w:val="both"/>
      </w:pPr>
      <w:r>
        <w:t>reducerea costurilor cu deconectarea/reconectarea locurilor de consum</w:t>
      </w:r>
      <w:r w:rsidR="0029491E">
        <w:t>;</w:t>
      </w:r>
    </w:p>
    <w:p w:rsidR="003E5218" w:rsidRDefault="003E5218" w:rsidP="00094097">
      <w:pPr>
        <w:pStyle w:val="ListParagraph"/>
        <w:numPr>
          <w:ilvl w:val="0"/>
          <w:numId w:val="36"/>
        </w:numPr>
        <w:spacing w:line="360" w:lineRule="auto"/>
        <w:ind w:left="993"/>
        <w:jc w:val="both"/>
      </w:pPr>
      <w:r>
        <w:t xml:space="preserve">reducerea </w:t>
      </w:r>
      <w:r w:rsidR="00B5323E">
        <w:t>pierderilor comerciale</w:t>
      </w:r>
      <w:r w:rsidR="008A419A">
        <w:t xml:space="preserve"> (CPT comercial)</w:t>
      </w:r>
      <w:r w:rsidR="0029491E">
        <w:t>;</w:t>
      </w:r>
    </w:p>
    <w:p w:rsidR="00B5323E" w:rsidRDefault="00B5323E" w:rsidP="00094097">
      <w:pPr>
        <w:pStyle w:val="ListParagraph"/>
        <w:numPr>
          <w:ilvl w:val="0"/>
          <w:numId w:val="36"/>
        </w:numPr>
        <w:spacing w:line="360" w:lineRule="auto"/>
        <w:ind w:left="993"/>
        <w:jc w:val="both"/>
      </w:pPr>
      <w:r>
        <w:t>reducerea pierderilor tehnice</w:t>
      </w:r>
      <w:r w:rsidR="008A419A">
        <w:t xml:space="preserve"> (CPT tehnic)</w:t>
      </w:r>
      <w:r w:rsidR="0029491E">
        <w:t>;</w:t>
      </w:r>
    </w:p>
    <w:p w:rsidR="003E5218" w:rsidRDefault="003E5218" w:rsidP="00094097">
      <w:pPr>
        <w:pStyle w:val="ListParagraph"/>
        <w:numPr>
          <w:ilvl w:val="0"/>
          <w:numId w:val="36"/>
        </w:numPr>
        <w:spacing w:line="360" w:lineRule="auto"/>
        <w:ind w:left="993"/>
        <w:jc w:val="both"/>
      </w:pPr>
      <w:r>
        <w:t>câștiguri realizate din creșterea cantității energiei distribuite (prin reducerea duratei întreruperilor</w:t>
      </w:r>
      <w:r w:rsidR="001C6B28">
        <w:t xml:space="preserve"> în alimentarea cu energie electrică rezultată ca urmare a exploatării facilităților asigurate de SMI: acționarea de la distanță, semnalizarea și localizarea defectelor</w:t>
      </w:r>
      <w:r w:rsidR="006A0858">
        <w:t>)</w:t>
      </w:r>
      <w:r w:rsidR="0029491E">
        <w:t>;</w:t>
      </w:r>
    </w:p>
    <w:p w:rsidR="00B5323E" w:rsidRDefault="00B5323E" w:rsidP="00094097">
      <w:pPr>
        <w:pStyle w:val="ListParagraph"/>
        <w:numPr>
          <w:ilvl w:val="0"/>
          <w:numId w:val="36"/>
        </w:numPr>
        <w:spacing w:line="360" w:lineRule="auto"/>
        <w:ind w:left="993"/>
        <w:jc w:val="both"/>
      </w:pPr>
      <w:r>
        <w:t>reducerea costurilor cu operarea și mentenanța (prin reducerea timpului de detectare și localizare a defectelor, scăderea numărului de deplasări ineficiente ale echipelor de intervenții etc.)</w:t>
      </w:r>
      <w:r w:rsidR="0029491E">
        <w:t>.</w:t>
      </w:r>
    </w:p>
    <w:p w:rsidR="008A2C4B" w:rsidRPr="00094097" w:rsidRDefault="008A2C4B" w:rsidP="00094097">
      <w:pPr>
        <w:pStyle w:val="ListParagraph"/>
        <w:spacing w:line="360" w:lineRule="auto"/>
        <w:ind w:left="284"/>
        <w:jc w:val="both"/>
        <w:rPr>
          <w:b/>
          <w:i/>
        </w:rPr>
      </w:pPr>
      <w:r w:rsidRPr="00094097">
        <w:rPr>
          <w:b/>
          <w:i/>
        </w:rPr>
        <w:t>B.3</w:t>
      </w:r>
      <w:r w:rsidR="00B5323E" w:rsidRPr="00094097">
        <w:rPr>
          <w:b/>
          <w:i/>
        </w:rPr>
        <w:t>.</w:t>
      </w:r>
      <w:r w:rsidRPr="00094097">
        <w:rPr>
          <w:b/>
          <w:i/>
        </w:rPr>
        <w:t xml:space="preserve"> </w:t>
      </w:r>
      <w:r w:rsidR="005A3891" w:rsidRPr="00094097">
        <w:rPr>
          <w:b/>
          <w:i/>
        </w:rPr>
        <w:t>Orizontul de timp</w:t>
      </w:r>
      <w:r w:rsidRPr="00094097">
        <w:rPr>
          <w:b/>
          <w:i/>
        </w:rPr>
        <w:t xml:space="preserve"> pentru care se efectuează analiza cost-beneficii: </w:t>
      </w:r>
      <w:r w:rsidRPr="00683682">
        <w:t>n+15</w:t>
      </w:r>
      <w:r w:rsidRPr="00094097">
        <w:t xml:space="preserve"> ani, unde n este durata în ani de la anul modificării calendarului (conform prevederilor de la art. </w:t>
      </w:r>
      <w:r w:rsidR="00C707F9" w:rsidRPr="00094097">
        <w:t>13 alin. (2) din condițiile</w:t>
      </w:r>
      <w:r w:rsidR="00852372">
        <w:t xml:space="preserve"> </w:t>
      </w:r>
      <w:r w:rsidR="00C707F9" w:rsidRPr="00094097">
        <w:t>-</w:t>
      </w:r>
      <w:r w:rsidR="00852372">
        <w:t xml:space="preserve"> </w:t>
      </w:r>
      <w:r w:rsidR="00C707F9" w:rsidRPr="00094097">
        <w:t>cadru) până la ultimul an al calendarului de implementare a SMI</w:t>
      </w:r>
      <w:r w:rsidR="00572543">
        <w:t xml:space="preserve"> aprobat</w:t>
      </w:r>
      <w:r w:rsidR="00C707F9" w:rsidRPr="00094097">
        <w:t>.</w:t>
      </w:r>
    </w:p>
    <w:p w:rsidR="00C707F9" w:rsidRPr="00094097" w:rsidRDefault="00C707F9" w:rsidP="00094097">
      <w:pPr>
        <w:pStyle w:val="ListParagraph"/>
        <w:spacing w:line="360" w:lineRule="auto"/>
        <w:ind w:left="284"/>
        <w:jc w:val="both"/>
        <w:rPr>
          <w:b/>
          <w:i/>
        </w:rPr>
      </w:pPr>
      <w:r w:rsidRPr="00094097">
        <w:rPr>
          <w:b/>
          <w:i/>
        </w:rPr>
        <w:t>B.4</w:t>
      </w:r>
      <w:r w:rsidR="00B5323E" w:rsidRPr="00094097">
        <w:rPr>
          <w:b/>
          <w:i/>
        </w:rPr>
        <w:t>.</w:t>
      </w:r>
      <w:r w:rsidRPr="00094097">
        <w:rPr>
          <w:b/>
          <w:i/>
        </w:rPr>
        <w:t xml:space="preserve"> </w:t>
      </w:r>
      <w:r w:rsidR="00D144CC" w:rsidRPr="00094097">
        <w:rPr>
          <w:b/>
          <w:i/>
        </w:rPr>
        <w:t>Duratele de utilizare a ech</w:t>
      </w:r>
      <w:r w:rsidR="00152DF3" w:rsidRPr="00094097">
        <w:rPr>
          <w:b/>
          <w:i/>
        </w:rPr>
        <w:t>i</w:t>
      </w:r>
      <w:r w:rsidR="00D144CC" w:rsidRPr="00094097">
        <w:rPr>
          <w:b/>
          <w:i/>
        </w:rPr>
        <w:t>pamentelor pentru care se calculează amortizarea:</w:t>
      </w:r>
    </w:p>
    <w:p w:rsidR="00D144CC" w:rsidRDefault="00D144CC" w:rsidP="00094097">
      <w:pPr>
        <w:pStyle w:val="ListParagraph"/>
        <w:numPr>
          <w:ilvl w:val="0"/>
          <w:numId w:val="35"/>
        </w:numPr>
        <w:spacing w:line="360" w:lineRule="auto"/>
        <w:ind w:left="993"/>
        <w:jc w:val="both"/>
      </w:pPr>
      <w:r>
        <w:t>15 ani pentru contoare</w:t>
      </w:r>
    </w:p>
    <w:p w:rsidR="00D144CC" w:rsidRDefault="00D144CC" w:rsidP="00094097">
      <w:pPr>
        <w:pStyle w:val="ListParagraph"/>
        <w:numPr>
          <w:ilvl w:val="0"/>
          <w:numId w:val="35"/>
        </w:numPr>
        <w:spacing w:line="360" w:lineRule="auto"/>
        <w:ind w:left="993"/>
        <w:jc w:val="both"/>
      </w:pPr>
      <w:r>
        <w:t>6 ani pentru tehnica de calcul</w:t>
      </w:r>
      <w:r w:rsidR="00152DF3">
        <w:t xml:space="preserve"> și echipamentele de comunicații</w:t>
      </w:r>
    </w:p>
    <w:p w:rsidR="00D144CC" w:rsidRPr="00094097" w:rsidRDefault="00D144CC" w:rsidP="00094097">
      <w:pPr>
        <w:pStyle w:val="ListParagraph"/>
        <w:spacing w:line="360" w:lineRule="auto"/>
        <w:ind w:left="426"/>
        <w:jc w:val="both"/>
        <w:rPr>
          <w:b/>
          <w:i/>
        </w:rPr>
      </w:pPr>
      <w:r w:rsidRPr="00094097">
        <w:rPr>
          <w:b/>
          <w:i/>
        </w:rPr>
        <w:lastRenderedPageBreak/>
        <w:t>B.5</w:t>
      </w:r>
      <w:r w:rsidR="00B5323E" w:rsidRPr="00094097">
        <w:rPr>
          <w:b/>
          <w:i/>
        </w:rPr>
        <w:t xml:space="preserve">. </w:t>
      </w:r>
      <w:r w:rsidR="009641BC" w:rsidRPr="00094097">
        <w:rPr>
          <w:b/>
          <w:i/>
        </w:rPr>
        <w:t>Indicatorii financiari:</w:t>
      </w:r>
    </w:p>
    <w:p w:rsidR="00A22028" w:rsidRPr="00094097" w:rsidRDefault="00A22028" w:rsidP="00FB5D0D">
      <w:pPr>
        <w:pStyle w:val="ListParagraph"/>
        <w:numPr>
          <w:ilvl w:val="0"/>
          <w:numId w:val="40"/>
        </w:numPr>
        <w:spacing w:line="360" w:lineRule="auto"/>
        <w:ind w:left="993"/>
        <w:jc w:val="both"/>
        <w:rPr>
          <w:b/>
        </w:rPr>
      </w:pPr>
      <w:r w:rsidRPr="00094097">
        <w:rPr>
          <w:b/>
        </w:rPr>
        <w:t>Utilizați:</w:t>
      </w:r>
    </w:p>
    <w:p w:rsidR="009641BC" w:rsidRDefault="009641BC" w:rsidP="00094097">
      <w:pPr>
        <w:pStyle w:val="ListParagraph"/>
        <w:numPr>
          <w:ilvl w:val="1"/>
          <w:numId w:val="37"/>
        </w:numPr>
        <w:spacing w:line="360" w:lineRule="auto"/>
        <w:jc w:val="both"/>
      </w:pPr>
      <w:r>
        <w:t xml:space="preserve">Rata de actualizare – valoarea </w:t>
      </w:r>
      <w:r w:rsidRPr="009641BC">
        <w:t>rat</w:t>
      </w:r>
      <w:r>
        <w:t>ei</w:t>
      </w:r>
      <w:r w:rsidRPr="009641BC">
        <w:t xml:space="preserve"> reglementat</w:t>
      </w:r>
      <w:r>
        <w:t>e</w:t>
      </w:r>
      <w:r w:rsidRPr="009641BC">
        <w:t xml:space="preserve"> a rentabilităţii capitalului investit</w:t>
      </w:r>
      <w:r>
        <w:t xml:space="preserve"> aprobată prin ordin al președintelui Autorității de Reglementare în Domeniul Energiei</w:t>
      </w:r>
      <w:r w:rsidR="0078601B">
        <w:t>,</w:t>
      </w:r>
      <w:r>
        <w:t xml:space="preserve"> în vigoare</w:t>
      </w:r>
    </w:p>
    <w:p w:rsidR="00E422E0" w:rsidRDefault="00E422E0" w:rsidP="00094097">
      <w:pPr>
        <w:pStyle w:val="ListParagraph"/>
        <w:numPr>
          <w:ilvl w:val="1"/>
          <w:numId w:val="37"/>
        </w:numPr>
        <w:spacing w:line="360" w:lineRule="auto"/>
        <w:jc w:val="both"/>
      </w:pPr>
      <w:r>
        <w:t>Indicii de actualizare a prețurilor</w:t>
      </w:r>
      <w:r w:rsidR="008A419A">
        <w:t xml:space="preserve"> (rata inflației) – </w:t>
      </w:r>
      <w:r w:rsidR="00714762">
        <w:t>valori conform ultimului raport privind prognoza pe termen mediu elaborat și publicat de Comisia Națională de Strategie și Prognoză</w:t>
      </w:r>
    </w:p>
    <w:p w:rsidR="008A419A" w:rsidRDefault="008A419A" w:rsidP="00094097">
      <w:pPr>
        <w:pStyle w:val="ListParagraph"/>
        <w:numPr>
          <w:ilvl w:val="1"/>
          <w:numId w:val="37"/>
        </w:numPr>
        <w:spacing w:line="360" w:lineRule="auto"/>
        <w:jc w:val="both"/>
      </w:pPr>
      <w:r>
        <w:t xml:space="preserve">Prețul energiei electrice utilizat pentru evaluarea beneficiilor privind reducerea pierderilor (CPT) – prețul pentru achiziția de energie electrică pentru </w:t>
      </w:r>
      <w:r w:rsidR="00F7445E">
        <w:t xml:space="preserve">acoperirea </w:t>
      </w:r>
      <w:r>
        <w:t xml:space="preserve">CPT </w:t>
      </w:r>
      <w:r w:rsidR="00F7445E">
        <w:t>recunoscut în tarifele de distribuţie în vigoare pentru anul în care se efectuează analiza cost-beneficiu</w:t>
      </w:r>
    </w:p>
    <w:p w:rsidR="00A22028" w:rsidRPr="009D3A83" w:rsidRDefault="00A22028" w:rsidP="009D3A83">
      <w:pPr>
        <w:pStyle w:val="ListParagraph"/>
        <w:numPr>
          <w:ilvl w:val="0"/>
          <w:numId w:val="23"/>
        </w:numPr>
        <w:spacing w:line="360" w:lineRule="auto"/>
        <w:ind w:left="993"/>
        <w:jc w:val="both"/>
        <w:rPr>
          <w:b/>
        </w:rPr>
      </w:pPr>
      <w:r w:rsidRPr="009D3A83">
        <w:rPr>
          <w:b/>
        </w:rPr>
        <w:t>Determinați:</w:t>
      </w:r>
    </w:p>
    <w:p w:rsidR="009641BC" w:rsidRDefault="009641BC" w:rsidP="00094097">
      <w:pPr>
        <w:pStyle w:val="ListParagraph"/>
        <w:numPr>
          <w:ilvl w:val="1"/>
          <w:numId w:val="37"/>
        </w:numPr>
        <w:spacing w:line="360" w:lineRule="auto"/>
        <w:jc w:val="both"/>
      </w:pPr>
      <w:r>
        <w:t xml:space="preserve">Valoarea financiară </w:t>
      </w:r>
      <w:r w:rsidR="00A22028">
        <w:t>netă prezentă (NPV)</w:t>
      </w:r>
    </w:p>
    <w:p w:rsidR="009137F6" w:rsidRDefault="00A22028" w:rsidP="00094097">
      <w:pPr>
        <w:pStyle w:val="ListParagraph"/>
        <w:numPr>
          <w:ilvl w:val="1"/>
          <w:numId w:val="37"/>
        </w:numPr>
        <w:spacing w:line="360" w:lineRule="auto"/>
        <w:jc w:val="both"/>
        <w:sectPr w:rsidR="009137F6" w:rsidSect="00460348">
          <w:pgSz w:w="12240" w:h="15840"/>
          <w:pgMar w:top="709" w:right="1183" w:bottom="1418" w:left="1134" w:header="0" w:footer="551" w:gutter="0"/>
          <w:cols w:space="708"/>
          <w:noEndnote/>
          <w:docGrid w:linePitch="360"/>
        </w:sectPr>
      </w:pPr>
      <w:r>
        <w:t>Rata financiară internă de rentabilitate (IRR)</w:t>
      </w:r>
    </w:p>
    <w:p w:rsidR="009137F6" w:rsidRPr="003B7E08" w:rsidRDefault="009137F6" w:rsidP="009137F6">
      <w:pPr>
        <w:keepNext/>
        <w:keepLines/>
        <w:suppressAutoHyphens/>
        <w:autoSpaceDN w:val="0"/>
        <w:spacing w:before="120"/>
        <w:jc w:val="right"/>
        <w:textAlignment w:val="baseline"/>
        <w:outlineLvl w:val="0"/>
        <w:rPr>
          <w:rFonts w:eastAsiaTheme="majorEastAsia" w:cstheme="majorBidi"/>
          <w:b/>
        </w:rPr>
      </w:pPr>
      <w:r w:rsidRPr="003B7E08">
        <w:rPr>
          <w:rFonts w:eastAsiaTheme="majorEastAsia" w:cstheme="majorBidi"/>
          <w:b/>
        </w:rPr>
        <w:lastRenderedPageBreak/>
        <w:t>Anexa 4</w:t>
      </w:r>
    </w:p>
    <w:p w:rsidR="009137F6" w:rsidRPr="003B7E08" w:rsidRDefault="009137F6" w:rsidP="009137F6">
      <w:pPr>
        <w:keepNext/>
        <w:keepLines/>
        <w:suppressAutoHyphens/>
        <w:autoSpaceDN w:val="0"/>
        <w:spacing w:before="120"/>
        <w:jc w:val="right"/>
        <w:textAlignment w:val="baseline"/>
        <w:outlineLvl w:val="0"/>
        <w:rPr>
          <w:rFonts w:eastAsiaTheme="majorEastAsia" w:cstheme="majorBidi"/>
          <w:b/>
        </w:rPr>
      </w:pPr>
      <w:r w:rsidRPr="003B7E08">
        <w:rPr>
          <w:rFonts w:eastAsiaTheme="majorEastAsia" w:cstheme="majorBidi"/>
          <w:b/>
        </w:rPr>
        <w:t xml:space="preserve">(Anexa nr. 7 la Condițile - cadru) </w:t>
      </w:r>
    </w:p>
    <w:p w:rsidR="009137F6" w:rsidRDefault="009137F6" w:rsidP="009137F6">
      <w:pPr>
        <w:jc w:val="both"/>
        <w:rPr>
          <w:sz w:val="10"/>
          <w:szCs w:val="10"/>
        </w:rPr>
      </w:pPr>
    </w:p>
    <w:p w:rsidR="009137F6" w:rsidRPr="009A4B44" w:rsidRDefault="009137F6" w:rsidP="009137F6">
      <w:pPr>
        <w:spacing w:line="276" w:lineRule="auto"/>
        <w:jc w:val="center"/>
        <w:rPr>
          <w:b/>
        </w:rPr>
      </w:pPr>
      <w:r w:rsidRPr="009A4B44">
        <w:rPr>
          <w:b/>
        </w:rPr>
        <w:t>Condiții specifice</w:t>
      </w:r>
    </w:p>
    <w:p w:rsidR="009137F6" w:rsidRPr="009A4B44" w:rsidRDefault="009137F6" w:rsidP="009137F6">
      <w:pPr>
        <w:spacing w:line="276" w:lineRule="auto"/>
        <w:jc w:val="center"/>
        <w:rPr>
          <w:b/>
        </w:rPr>
      </w:pPr>
      <w:r w:rsidRPr="009A4B44">
        <w:rPr>
          <w:b/>
        </w:rPr>
        <w:t>ale locului de consum/de producere și consum integrat în sistemul de măsurare inteligentă a energiei electrice</w:t>
      </w:r>
    </w:p>
    <w:p w:rsidR="009137F6" w:rsidRDefault="009137F6" w:rsidP="009137F6">
      <w:pPr>
        <w:spacing w:line="360" w:lineRule="auto"/>
        <w:jc w:val="both"/>
        <w:rPr>
          <w:b/>
          <w:sz w:val="16"/>
          <w:szCs w:val="16"/>
        </w:rPr>
      </w:pPr>
    </w:p>
    <w:p w:rsidR="009137F6" w:rsidRDefault="009137F6" w:rsidP="009137F6">
      <w:pPr>
        <w:numPr>
          <w:ilvl w:val="0"/>
          <w:numId w:val="46"/>
        </w:numPr>
        <w:tabs>
          <w:tab w:val="left" w:pos="316"/>
        </w:tabs>
        <w:spacing w:after="120" w:line="360" w:lineRule="auto"/>
        <w:ind w:left="0" w:firstLine="0"/>
        <w:jc w:val="both"/>
      </w:pPr>
      <w:r>
        <w:t xml:space="preserve"> Începând cu data de __________________ , locul de consum/de producere și consum identificat prin POD _______________________________________________________, de la adresa</w:t>
      </w:r>
      <w:r w:rsidR="00CF6C86">
        <w:t>:</w:t>
      </w:r>
      <w:r>
        <w:t xml:space="preserve"> </w:t>
      </w:r>
      <w:r w:rsidR="00CF6C86">
        <w:t>Str.</w:t>
      </w:r>
      <w:r>
        <w:t>_____________________</w:t>
      </w:r>
      <w:r w:rsidR="00CF6C86">
        <w:t>Bl.</w:t>
      </w:r>
      <w:r>
        <w:t>_____</w:t>
      </w:r>
      <w:r w:rsidR="00CF6C86">
        <w:t>Sc.</w:t>
      </w:r>
      <w:r>
        <w:t>__</w:t>
      </w:r>
      <w:r w:rsidR="00CF6C86" w:rsidRPr="00CF6C86">
        <w:t xml:space="preserve"> </w:t>
      </w:r>
      <w:r w:rsidR="00572543">
        <w:t xml:space="preserve">Ap._____, </w:t>
      </w:r>
      <w:r w:rsidR="00CF6C86">
        <w:t>Localitate:</w:t>
      </w:r>
      <w:r>
        <w:t>______________________</w:t>
      </w:r>
      <w:r w:rsidR="00572543">
        <w:t xml:space="preserve">, </w:t>
      </w:r>
      <w:r w:rsidR="00CF6C86">
        <w:t>Județ:</w:t>
      </w:r>
      <w:r>
        <w:t>_</w:t>
      </w:r>
      <w:r w:rsidR="00CF6C86">
        <w:t>________</w:t>
      </w:r>
      <w:r>
        <w:t>__</w:t>
      </w:r>
      <w:r w:rsidR="00572543">
        <w:t>,</w:t>
      </w:r>
      <w:r>
        <w:t xml:space="preserve"> a fost integrat în sistemul de măsurare inteligentă a energie electrice (SMI). </w:t>
      </w:r>
    </w:p>
    <w:p w:rsidR="009137F6" w:rsidRDefault="009137F6" w:rsidP="009137F6">
      <w:pPr>
        <w:numPr>
          <w:ilvl w:val="0"/>
          <w:numId w:val="46"/>
        </w:numPr>
        <w:tabs>
          <w:tab w:val="left" w:pos="316"/>
        </w:tabs>
        <w:spacing w:after="120" w:line="360" w:lineRule="auto"/>
        <w:ind w:left="0" w:firstLine="0"/>
        <w:jc w:val="both"/>
      </w:pPr>
      <w:r>
        <w:t xml:space="preserve">Informațiile cu privire la beneficiile care se pot obține prin valorificarea funcționalităților SMI, precum și alte date și informații cu privire la sistemele de măsurare inteligentă prevăzute la art. 16 din condițiile-cadru </w:t>
      </w:r>
      <w:r w:rsidR="001670C6" w:rsidRPr="001670C6">
        <w:t xml:space="preserve">pentru realizarea calendarului de implementare a sistemelor de măsurare inteligentă a energiei electrice la nivel naţional </w:t>
      </w:r>
      <w:r w:rsidR="001670C6">
        <w:t xml:space="preserve">aprobate prin ordinul președintelui ANRE nr. 177/2018, cu modificările și completările ulterioare, </w:t>
      </w:r>
      <w:r>
        <w:t>pot fi obținute prin accesarea  paginii de internet http://..................</w:t>
      </w:r>
      <w:r w:rsidR="00CF6C86">
        <w:t>...............................</w:t>
      </w:r>
      <w:r>
        <w:t xml:space="preserve">* </w:t>
      </w:r>
    </w:p>
    <w:p w:rsidR="009137F6" w:rsidRDefault="009137F6" w:rsidP="009137F6">
      <w:pPr>
        <w:numPr>
          <w:ilvl w:val="0"/>
          <w:numId w:val="46"/>
        </w:numPr>
        <w:tabs>
          <w:tab w:val="left" w:pos="331"/>
        </w:tabs>
        <w:spacing w:after="120" w:line="360" w:lineRule="auto"/>
        <w:ind w:left="0" w:firstLine="0"/>
        <w:jc w:val="both"/>
      </w:pPr>
      <w:r>
        <w:t xml:space="preserve">Urmare a integrării în SMI, facturarea energiei electrice consumată la locul de consum/de producere și consum prevăzut la pct. 1 se face de către furnizor numai pe baza datelor de decontare înregistrate de SMI, fără să se mai solicite transmiterea de către utilizator a indexului auto-citit și fără să se utilizeze o cantitate estimată de energie electrică. </w:t>
      </w:r>
    </w:p>
    <w:p w:rsidR="009137F6" w:rsidRDefault="009137F6" w:rsidP="009137F6">
      <w:pPr>
        <w:numPr>
          <w:ilvl w:val="0"/>
          <w:numId w:val="46"/>
        </w:numPr>
        <w:tabs>
          <w:tab w:val="left" w:pos="331"/>
        </w:tabs>
        <w:spacing w:after="120" w:line="360" w:lineRule="auto"/>
        <w:ind w:left="0" w:firstLine="0"/>
        <w:jc w:val="both"/>
      </w:pPr>
      <w:r>
        <w:t>Prin excepție față de prevederile de la pct. 3, dacă OD nu poate obține datele de consum/de producere înregistrate de subsistemul de măsurare de la locul de consum/de producere și consum până la data transmiterii către furnizor a datelor pentru facturare, OD transmite furnizorului date estimate pentru perioada de facturare curentă. Durata maximă pentru restabilirea transmiterii datelor de la subsistemul de măsurare la sistemul central de gestiune a datelor de măsurare (HES/MDMS) este de 15 zile de la data la care s-au transmis către furnizor datele de consum/de producere aferente perioadei respective de facturare. Se admite maxim o estimare a datelor de consum/de producere pentru un loc de consum/de producere și consum pe durata unui trimestru.</w:t>
      </w:r>
    </w:p>
    <w:p w:rsidR="009137F6" w:rsidRDefault="009137F6" w:rsidP="009137F6">
      <w:pPr>
        <w:numPr>
          <w:ilvl w:val="0"/>
          <w:numId w:val="46"/>
        </w:numPr>
        <w:tabs>
          <w:tab w:val="left" w:pos="331"/>
        </w:tabs>
        <w:spacing w:after="120" w:line="360" w:lineRule="auto"/>
        <w:ind w:left="0" w:firstLine="29"/>
        <w:jc w:val="both"/>
      </w:pPr>
      <w:r>
        <w:t>Utilizatorul are acces, pe portalul aflat pe pagina de internet http://..........</w:t>
      </w:r>
      <w:r w:rsidR="001670C6">
        <w:t>...............</w:t>
      </w:r>
      <w:r>
        <w:t xml:space="preserve">...*, la datele istorice de </w:t>
      </w:r>
      <w:r w:rsidR="00CE02A6">
        <w:t>măsurare</w:t>
      </w:r>
      <w:r>
        <w:t xml:space="preserve"> proprii, </w:t>
      </w:r>
      <w:r w:rsidR="00572543">
        <w:t>în condițiile prevăzute la art. 18</w:t>
      </w:r>
      <w:r w:rsidR="00572543" w:rsidRPr="00572543">
        <w:rPr>
          <w:vertAlign w:val="superscript"/>
        </w:rPr>
        <w:t>1</w:t>
      </w:r>
      <w:r w:rsidR="00572543">
        <w:t xml:space="preserve"> </w:t>
      </w:r>
      <w:r w:rsidR="00303A84">
        <w:t xml:space="preserve">alin (1) </w:t>
      </w:r>
      <w:r w:rsidR="00572543">
        <w:t xml:space="preserve">din Condițiile – cadru </w:t>
      </w:r>
      <w:r w:rsidR="00CE02A6" w:rsidRPr="00CE02A6">
        <w:t>pentru realizarea calendarului de implementare a sistemelor de măsurare inteligentă a energiei electrice la nivel național</w:t>
      </w:r>
      <w:r w:rsidR="00572543">
        <w:t xml:space="preserve"> aprobate prin ordinul președintelui ANRE nr. 177/2018, cu modificările și completările ulterioare</w:t>
      </w:r>
      <w:r>
        <w:t xml:space="preserve">, cu respectarea condiţiilor de securitate şi protecţie a confidenţialităţii datelor prevăzute în </w:t>
      </w:r>
      <w:r>
        <w:lastRenderedPageBreak/>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Accesul utilizatorului la datele proprii de </w:t>
      </w:r>
      <w:r w:rsidR="00CE02A6">
        <w:t>măsurare</w:t>
      </w:r>
      <w:r>
        <w:t xml:space="preserve"> se face prin intermediul unui cont unic, cu nume de user și parolă personalizate. Contul unic, cu nume de user și parolă, se creează de către utilizator la prima accesare a portalului.</w:t>
      </w:r>
    </w:p>
    <w:p w:rsidR="00AE377F" w:rsidRDefault="00AE377F" w:rsidP="009137F6">
      <w:pPr>
        <w:numPr>
          <w:ilvl w:val="0"/>
          <w:numId w:val="46"/>
        </w:numPr>
        <w:tabs>
          <w:tab w:val="left" w:pos="331"/>
        </w:tabs>
        <w:spacing w:after="120" w:line="360" w:lineRule="auto"/>
        <w:ind w:left="0" w:firstLine="29"/>
        <w:jc w:val="both"/>
      </w:pPr>
      <w:r>
        <w:t xml:space="preserve">Utilizatorului i se poate asigura </w:t>
      </w:r>
      <w:r w:rsidRPr="00AE377F">
        <w:t>acces la datele de măsurare nevalidate, în timp aproape real, pentru sine sau pentru un terț pe care utilizatorul l-a împuternicit să aibă acces la aceste date în numele său</w:t>
      </w:r>
      <w:r w:rsidR="00303A84">
        <w:t>,</w:t>
      </w:r>
      <w:r>
        <w:t xml:space="preserve"> prin formularea unei solicitări </w:t>
      </w:r>
      <w:r w:rsidR="00303A84">
        <w:t xml:space="preserve">online, </w:t>
      </w:r>
      <w:r>
        <w:t>pe portalul OD</w:t>
      </w:r>
      <w:r w:rsidR="00303A84">
        <w:t>, conform prevederilor de la art. 18</w:t>
      </w:r>
      <w:r w:rsidR="00303A84" w:rsidRPr="00303A84">
        <w:rPr>
          <w:vertAlign w:val="superscript"/>
        </w:rPr>
        <w:t>1</w:t>
      </w:r>
      <w:r w:rsidR="00303A84">
        <w:t xml:space="preserve"> alin (2) </w:t>
      </w:r>
      <w:r w:rsidR="00303A84" w:rsidRPr="00303A84">
        <w:t xml:space="preserve">din </w:t>
      </w:r>
      <w:r w:rsidR="00CE02A6">
        <w:t>C</w:t>
      </w:r>
      <w:r w:rsidR="00CE02A6" w:rsidRPr="00303A84">
        <w:t xml:space="preserve">ondițiile </w:t>
      </w:r>
      <w:r w:rsidR="00303A84" w:rsidRPr="00303A84">
        <w:t xml:space="preserve">– cadru </w:t>
      </w:r>
      <w:r w:rsidR="00CE02A6" w:rsidRPr="00CE02A6">
        <w:t>pentru realizarea calendarului de implementare a sistemelor de măsurare inteligentă a energiei electrice la nivel național</w:t>
      </w:r>
      <w:r w:rsidR="00303A84" w:rsidRPr="00303A84">
        <w:t xml:space="preserve"> aprobate prin ordinul președintelui ANRE nr. 177/2018, cu modificările și completările ulterioare</w:t>
      </w:r>
      <w:r w:rsidR="00303A84">
        <w:t>.</w:t>
      </w:r>
    </w:p>
    <w:p w:rsidR="009137F6" w:rsidRDefault="009137F6" w:rsidP="009137F6">
      <w:pPr>
        <w:tabs>
          <w:tab w:val="left" w:pos="331"/>
        </w:tabs>
        <w:spacing w:after="120" w:line="360" w:lineRule="auto"/>
        <w:jc w:val="both"/>
      </w:pPr>
      <w:r>
        <w:t>6.</w:t>
      </w:r>
      <w:r>
        <w:tab/>
        <w:t>În situaţia în care nu sunt îndeplinite condiţiile prin care OD şi furnizorul au dreptul să prelucreze datele conform prevederilor din Regulamentul (UE) 2016/679 al Parlamentului European și al Consiliului din 27 aprilie 2016 privind protecția persoanelor fizice în ceea ce privește prelucrarea datelor cu caracter personal și privind libera circulație a acestor date și de abrogare a Directivei 95/46/CE, operatorul de distribuție limitează înregistrarea datelor de decontare strict la cele necesare facturării lunare a cantității de energie electrică consumată/produsă.</w:t>
      </w:r>
    </w:p>
    <w:p w:rsidR="009137F6" w:rsidRDefault="009137F6" w:rsidP="009137F6">
      <w:pPr>
        <w:tabs>
          <w:tab w:val="left" w:pos="331"/>
        </w:tabs>
        <w:spacing w:after="160" w:line="360" w:lineRule="auto"/>
        <w:jc w:val="both"/>
      </w:pPr>
      <w:r w:rsidRPr="00CF6C86">
        <w:rPr>
          <w:b/>
        </w:rPr>
        <w:t>Notă:</w:t>
      </w:r>
      <w:r>
        <w:t xml:space="preserve"> * - La transmiterea informării, rubrica se completează cu adresa completă a paginii de internet</w:t>
      </w:r>
    </w:p>
    <w:p w:rsidR="009137F6" w:rsidRPr="00FD476F" w:rsidRDefault="009137F6" w:rsidP="009137F6">
      <w:pPr>
        <w:spacing w:line="360" w:lineRule="auto"/>
        <w:jc w:val="both"/>
      </w:pPr>
    </w:p>
    <w:sectPr w:rsidR="009137F6" w:rsidRPr="00FD476F" w:rsidSect="00460348">
      <w:pgSz w:w="12240" w:h="15840"/>
      <w:pgMar w:top="709" w:right="1183" w:bottom="1418" w:left="1134" w:header="0" w:footer="551"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41B" w:rsidRDefault="00BE141B" w:rsidP="00F511D0">
      <w:r>
        <w:separator/>
      </w:r>
    </w:p>
  </w:endnote>
  <w:endnote w:type="continuationSeparator" w:id="0">
    <w:p w:rsidR="00BE141B" w:rsidRDefault="00BE141B" w:rsidP="00F5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379842"/>
      <w:docPartObj>
        <w:docPartGallery w:val="Page Numbers (Bottom of Page)"/>
        <w:docPartUnique/>
      </w:docPartObj>
    </w:sdtPr>
    <w:sdtEndPr>
      <w:rPr>
        <w:noProof/>
      </w:rPr>
    </w:sdtEndPr>
    <w:sdtContent>
      <w:p w:rsidR="0026066D" w:rsidRDefault="0026066D">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26066D" w:rsidRDefault="0026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41B" w:rsidRDefault="00BE141B" w:rsidP="00F511D0">
      <w:r>
        <w:separator/>
      </w:r>
    </w:p>
  </w:footnote>
  <w:footnote w:type="continuationSeparator" w:id="0">
    <w:p w:rsidR="00BE141B" w:rsidRDefault="00BE141B" w:rsidP="00F5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A6C"/>
    <w:multiLevelType w:val="hybridMultilevel"/>
    <w:tmpl w:val="AE84A420"/>
    <w:lvl w:ilvl="0" w:tplc="609A7F64">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04EE5287"/>
    <w:multiLevelType w:val="hybridMultilevel"/>
    <w:tmpl w:val="A9D24A0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15:restartNumberingAfterBreak="0">
    <w:nsid w:val="0A713DF8"/>
    <w:multiLevelType w:val="hybridMultilevel"/>
    <w:tmpl w:val="20024A18"/>
    <w:lvl w:ilvl="0" w:tplc="E30E2E3C">
      <w:start w:val="4"/>
      <w:numFmt w:val="decimal"/>
      <w:lvlText w:val="(%1) "/>
      <w:lvlJc w:val="left"/>
      <w:pPr>
        <w:ind w:left="1571"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88346D"/>
    <w:multiLevelType w:val="hybridMultilevel"/>
    <w:tmpl w:val="3D02D8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9B038E"/>
    <w:multiLevelType w:val="hybridMultilevel"/>
    <w:tmpl w:val="842275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321FCE"/>
    <w:multiLevelType w:val="hybridMultilevel"/>
    <w:tmpl w:val="C86A16B8"/>
    <w:lvl w:ilvl="0" w:tplc="B0543950">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1E71118F"/>
    <w:multiLevelType w:val="hybridMultilevel"/>
    <w:tmpl w:val="85964F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2653FA"/>
    <w:multiLevelType w:val="hybridMultilevel"/>
    <w:tmpl w:val="3D02D8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CE29F7"/>
    <w:multiLevelType w:val="hybridMultilevel"/>
    <w:tmpl w:val="3BD268CA"/>
    <w:lvl w:ilvl="0" w:tplc="B054395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B604257"/>
    <w:multiLevelType w:val="multilevel"/>
    <w:tmpl w:val="9BF6D434"/>
    <w:lvl w:ilvl="0">
      <w:start w:val="1"/>
      <w:numFmt w:val="decimal"/>
      <w:suff w:val="space"/>
      <w:lvlText w:val="%1."/>
      <w:lvlJc w:val="left"/>
      <w:pPr>
        <w:ind w:left="360" w:hanging="360"/>
      </w:pPr>
      <w:rPr>
        <w:rFonts w:hint="default"/>
      </w:rPr>
    </w:lvl>
    <w:lvl w:ilvl="1">
      <w:start w:val="1"/>
      <w:numFmt w:val="decimal"/>
      <w:pStyle w:val="HeadingNumber02"/>
      <w:suff w:val="space"/>
      <w:lvlText w:val="%1.%2."/>
      <w:lvlJc w:val="left"/>
      <w:pPr>
        <w:ind w:left="792" w:hanging="432"/>
      </w:pPr>
      <w:rPr>
        <w:rFonts w:hint="default"/>
      </w:rPr>
    </w:lvl>
    <w:lvl w:ilvl="2">
      <w:start w:val="1"/>
      <w:numFmt w:val="decimal"/>
      <w:pStyle w:val="HeadingNumber03"/>
      <w:suff w:val="space"/>
      <w:lvlText w:val="%1.%2.%3."/>
      <w:lvlJc w:val="left"/>
      <w:pPr>
        <w:ind w:left="1224" w:hanging="504"/>
      </w:pPr>
      <w:rPr>
        <w:rFonts w:hint="default"/>
      </w:rPr>
    </w:lvl>
    <w:lvl w:ilvl="3">
      <w:start w:val="1"/>
      <w:numFmt w:val="decimal"/>
      <w:pStyle w:val="HeadingNumber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0A0FD6"/>
    <w:multiLevelType w:val="hybridMultilevel"/>
    <w:tmpl w:val="797C2DD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34710800"/>
    <w:multiLevelType w:val="hybridMultilevel"/>
    <w:tmpl w:val="4142D84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2" w15:restartNumberingAfterBreak="0">
    <w:nsid w:val="38E90A34"/>
    <w:multiLevelType w:val="hybridMultilevel"/>
    <w:tmpl w:val="064029E0"/>
    <w:lvl w:ilvl="0" w:tplc="153AB68E">
      <w:numFmt w:val="bullet"/>
      <w:lvlText w:val="-"/>
      <w:lvlJc w:val="left"/>
      <w:pPr>
        <w:ind w:left="1915" w:hanging="1065"/>
      </w:pPr>
      <w:rPr>
        <w:rFonts w:ascii="Times New Roman" w:eastAsia="Calibr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3" w15:restartNumberingAfterBreak="0">
    <w:nsid w:val="3BEC7CF5"/>
    <w:multiLevelType w:val="hybridMultilevel"/>
    <w:tmpl w:val="9AAC65FE"/>
    <w:lvl w:ilvl="0" w:tplc="5776B300">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3CC64497"/>
    <w:multiLevelType w:val="hybridMultilevel"/>
    <w:tmpl w:val="BCE08F4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5" w15:restartNumberingAfterBreak="0">
    <w:nsid w:val="46282F78"/>
    <w:multiLevelType w:val="hybridMultilevel"/>
    <w:tmpl w:val="AF8C08F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6" w15:restartNumberingAfterBreak="0">
    <w:nsid w:val="46B97A99"/>
    <w:multiLevelType w:val="hybridMultilevel"/>
    <w:tmpl w:val="39365832"/>
    <w:lvl w:ilvl="0" w:tplc="B0543950">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7" w15:restartNumberingAfterBreak="0">
    <w:nsid w:val="473740BE"/>
    <w:multiLevelType w:val="hybridMultilevel"/>
    <w:tmpl w:val="DA22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03EDE"/>
    <w:multiLevelType w:val="hybridMultilevel"/>
    <w:tmpl w:val="FA1223BE"/>
    <w:lvl w:ilvl="0" w:tplc="3190BB1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9" w15:restartNumberingAfterBreak="0">
    <w:nsid w:val="4CFC2F65"/>
    <w:multiLevelType w:val="hybridMultilevel"/>
    <w:tmpl w:val="E9086A1C"/>
    <w:lvl w:ilvl="0" w:tplc="04090017">
      <w:start w:val="1"/>
      <w:numFmt w:val="lowerLetter"/>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0" w15:restartNumberingAfterBreak="0">
    <w:nsid w:val="4E2B1B99"/>
    <w:multiLevelType w:val="multilevel"/>
    <w:tmpl w:val="C3ECE198"/>
    <w:lvl w:ilvl="0">
      <w:start w:val="1"/>
      <w:numFmt w:val="decimal"/>
      <w:lvlText w:val="%1."/>
      <w:lvlJc w:val="left"/>
      <w:pPr>
        <w:ind w:left="608" w:hanging="360"/>
      </w:pPr>
      <w:rPr>
        <w: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E529E4"/>
    <w:multiLevelType w:val="hybridMultilevel"/>
    <w:tmpl w:val="AFB8B27A"/>
    <w:lvl w:ilvl="0" w:tplc="2F702AAE">
      <w:start w:val="4"/>
      <w:numFmt w:val="decimal"/>
      <w:lvlText w:val="(%1) "/>
      <w:lvlJc w:val="left"/>
      <w:pPr>
        <w:ind w:left="1571"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F853FE4"/>
    <w:multiLevelType w:val="hybridMultilevel"/>
    <w:tmpl w:val="7048ECB2"/>
    <w:lvl w:ilvl="0" w:tplc="E2F8C38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3190BB1C">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8F4B55"/>
    <w:multiLevelType w:val="hybridMultilevel"/>
    <w:tmpl w:val="A4BC5FBE"/>
    <w:lvl w:ilvl="0" w:tplc="32D0DA34">
      <w:start w:val="12"/>
      <w:numFmt w:val="decimal"/>
      <w:lvlText w:val="(%1)"/>
      <w:lvlJc w:val="left"/>
      <w:pPr>
        <w:ind w:left="1110" w:hanging="3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75B85EB7"/>
    <w:multiLevelType w:val="multilevel"/>
    <w:tmpl w:val="C39E1A86"/>
    <w:lvl w:ilvl="0">
      <w:numFmt w:val="bullet"/>
      <w:lvlText w:val="-"/>
      <w:lvlJc w:val="left"/>
      <w:pPr>
        <w:ind w:left="510" w:hanging="360"/>
      </w:pPr>
      <w:rPr>
        <w:rFonts w:ascii="Arial" w:eastAsia="Calibri" w:hAnsi="Arial" w:cs="Arial"/>
      </w:rPr>
    </w:lvl>
    <w:lvl w:ilvl="1">
      <w:numFmt w:val="bullet"/>
      <w:lvlText w:val="o"/>
      <w:lvlJc w:val="left"/>
      <w:pPr>
        <w:ind w:left="1230" w:hanging="360"/>
      </w:pPr>
      <w:rPr>
        <w:rFonts w:ascii="Courier New" w:hAnsi="Courier New" w:cs="Courier New"/>
      </w:rPr>
    </w:lvl>
    <w:lvl w:ilvl="2">
      <w:numFmt w:val="bullet"/>
      <w:lvlText w:val=""/>
      <w:lvlJc w:val="left"/>
      <w:pPr>
        <w:ind w:left="1950" w:hanging="360"/>
      </w:pPr>
      <w:rPr>
        <w:rFonts w:ascii="Wingdings" w:hAnsi="Wingdings"/>
      </w:rPr>
    </w:lvl>
    <w:lvl w:ilvl="3">
      <w:numFmt w:val="bullet"/>
      <w:lvlText w:val=""/>
      <w:lvlJc w:val="left"/>
      <w:pPr>
        <w:ind w:left="2670" w:hanging="360"/>
      </w:pPr>
      <w:rPr>
        <w:rFonts w:ascii="Symbol" w:hAnsi="Symbol"/>
      </w:rPr>
    </w:lvl>
    <w:lvl w:ilvl="4">
      <w:numFmt w:val="bullet"/>
      <w:lvlText w:val="o"/>
      <w:lvlJc w:val="left"/>
      <w:pPr>
        <w:ind w:left="3390" w:hanging="360"/>
      </w:pPr>
      <w:rPr>
        <w:rFonts w:ascii="Courier New" w:hAnsi="Courier New" w:cs="Courier New"/>
      </w:rPr>
    </w:lvl>
    <w:lvl w:ilvl="5">
      <w:numFmt w:val="bullet"/>
      <w:lvlText w:val=""/>
      <w:lvlJc w:val="left"/>
      <w:pPr>
        <w:ind w:left="4110" w:hanging="360"/>
      </w:pPr>
      <w:rPr>
        <w:rFonts w:ascii="Wingdings" w:hAnsi="Wingdings"/>
      </w:rPr>
    </w:lvl>
    <w:lvl w:ilvl="6">
      <w:numFmt w:val="bullet"/>
      <w:lvlText w:val=""/>
      <w:lvlJc w:val="left"/>
      <w:pPr>
        <w:ind w:left="4830" w:hanging="360"/>
      </w:pPr>
      <w:rPr>
        <w:rFonts w:ascii="Symbol" w:hAnsi="Symbol"/>
      </w:rPr>
    </w:lvl>
    <w:lvl w:ilvl="7">
      <w:numFmt w:val="bullet"/>
      <w:lvlText w:val="o"/>
      <w:lvlJc w:val="left"/>
      <w:pPr>
        <w:ind w:left="5550" w:hanging="360"/>
      </w:pPr>
      <w:rPr>
        <w:rFonts w:ascii="Courier New" w:hAnsi="Courier New" w:cs="Courier New"/>
      </w:rPr>
    </w:lvl>
    <w:lvl w:ilvl="8">
      <w:numFmt w:val="bullet"/>
      <w:lvlText w:val=""/>
      <w:lvlJc w:val="left"/>
      <w:pPr>
        <w:ind w:left="6270" w:hanging="360"/>
      </w:pPr>
      <w:rPr>
        <w:rFonts w:ascii="Wingdings" w:hAnsi="Wingdings"/>
      </w:rPr>
    </w:lvl>
  </w:abstractNum>
  <w:abstractNum w:abstractNumId="25" w15:restartNumberingAfterBreak="0">
    <w:nsid w:val="772928C5"/>
    <w:multiLevelType w:val="hybridMultilevel"/>
    <w:tmpl w:val="B29A2F4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2"/>
  </w:num>
  <w:num w:numId="22">
    <w:abstractNumId w:val="3"/>
  </w:num>
  <w:num w:numId="23">
    <w:abstractNumId w:val="24"/>
  </w:num>
  <w:num w:numId="24">
    <w:abstractNumId w:val="21"/>
  </w:num>
  <w:num w:numId="25">
    <w:abstractNumId w:val="22"/>
  </w:num>
  <w:num w:numId="26">
    <w:abstractNumId w:val="7"/>
  </w:num>
  <w:num w:numId="27">
    <w:abstractNumId w:val="4"/>
  </w:num>
  <w:num w:numId="28">
    <w:abstractNumId w:val="6"/>
  </w:num>
  <w:num w:numId="29">
    <w:abstractNumId w:val="23"/>
  </w:num>
  <w:num w:numId="30">
    <w:abstractNumId w:val="20"/>
  </w:num>
  <w:num w:numId="31">
    <w:abstractNumId w:val="17"/>
  </w:num>
  <w:num w:numId="32">
    <w:abstractNumId w:val="13"/>
  </w:num>
  <w:num w:numId="33">
    <w:abstractNumId w:val="10"/>
  </w:num>
  <w:num w:numId="34">
    <w:abstractNumId w:val="11"/>
  </w:num>
  <w:num w:numId="35">
    <w:abstractNumId w:val="1"/>
  </w:num>
  <w:num w:numId="36">
    <w:abstractNumId w:val="25"/>
  </w:num>
  <w:num w:numId="37">
    <w:abstractNumId w:val="14"/>
  </w:num>
  <w:num w:numId="38">
    <w:abstractNumId w:val="5"/>
  </w:num>
  <w:num w:numId="39">
    <w:abstractNumId w:val="16"/>
  </w:num>
  <w:num w:numId="40">
    <w:abstractNumId w:val="8"/>
  </w:num>
  <w:num w:numId="41">
    <w:abstractNumId w:val="15"/>
  </w:num>
  <w:num w:numId="42">
    <w:abstractNumId w:val="19"/>
  </w:num>
  <w:num w:numId="43">
    <w:abstractNumId w:val="18"/>
  </w:num>
  <w:num w:numId="44">
    <w:abstractNumId w:val="12"/>
  </w:num>
  <w:num w:numId="45">
    <w:abstractNumId w:val="0"/>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7C"/>
    <w:rsid w:val="00003BCB"/>
    <w:rsid w:val="000062A2"/>
    <w:rsid w:val="00006F4E"/>
    <w:rsid w:val="00007EAC"/>
    <w:rsid w:val="00013C54"/>
    <w:rsid w:val="00016059"/>
    <w:rsid w:val="000161A7"/>
    <w:rsid w:val="00023700"/>
    <w:rsid w:val="00024EB8"/>
    <w:rsid w:val="00027D0D"/>
    <w:rsid w:val="00034A1C"/>
    <w:rsid w:val="00036D0F"/>
    <w:rsid w:val="00046349"/>
    <w:rsid w:val="0005013A"/>
    <w:rsid w:val="00050F9D"/>
    <w:rsid w:val="00056665"/>
    <w:rsid w:val="00056C55"/>
    <w:rsid w:val="000675A4"/>
    <w:rsid w:val="000677C4"/>
    <w:rsid w:val="00070AF3"/>
    <w:rsid w:val="00070BE5"/>
    <w:rsid w:val="000710F0"/>
    <w:rsid w:val="00075CDF"/>
    <w:rsid w:val="00077151"/>
    <w:rsid w:val="000774A6"/>
    <w:rsid w:val="00077E5E"/>
    <w:rsid w:val="00081A08"/>
    <w:rsid w:val="000842B3"/>
    <w:rsid w:val="000908F4"/>
    <w:rsid w:val="00091002"/>
    <w:rsid w:val="000915A8"/>
    <w:rsid w:val="00092CEA"/>
    <w:rsid w:val="000939B3"/>
    <w:rsid w:val="00094097"/>
    <w:rsid w:val="00094369"/>
    <w:rsid w:val="00095646"/>
    <w:rsid w:val="0009628D"/>
    <w:rsid w:val="000973E1"/>
    <w:rsid w:val="000A0245"/>
    <w:rsid w:val="000A0E98"/>
    <w:rsid w:val="000A2514"/>
    <w:rsid w:val="000A40FE"/>
    <w:rsid w:val="000A426A"/>
    <w:rsid w:val="000A49A5"/>
    <w:rsid w:val="000A4A0A"/>
    <w:rsid w:val="000A606F"/>
    <w:rsid w:val="000A7B65"/>
    <w:rsid w:val="000B15C9"/>
    <w:rsid w:val="000B2424"/>
    <w:rsid w:val="000C1665"/>
    <w:rsid w:val="000C1E2D"/>
    <w:rsid w:val="000C4DB2"/>
    <w:rsid w:val="000C7687"/>
    <w:rsid w:val="000C78B7"/>
    <w:rsid w:val="000C7A99"/>
    <w:rsid w:val="000D182F"/>
    <w:rsid w:val="000D458B"/>
    <w:rsid w:val="000D4654"/>
    <w:rsid w:val="000D7122"/>
    <w:rsid w:val="000E5035"/>
    <w:rsid w:val="000E608E"/>
    <w:rsid w:val="000F51D0"/>
    <w:rsid w:val="000F51F4"/>
    <w:rsid w:val="000F677E"/>
    <w:rsid w:val="000F6D9D"/>
    <w:rsid w:val="00103AC7"/>
    <w:rsid w:val="00103BE1"/>
    <w:rsid w:val="001044B6"/>
    <w:rsid w:val="001060AF"/>
    <w:rsid w:val="00107E80"/>
    <w:rsid w:val="00116597"/>
    <w:rsid w:val="001167BA"/>
    <w:rsid w:val="00117079"/>
    <w:rsid w:val="00122633"/>
    <w:rsid w:val="00123D0C"/>
    <w:rsid w:val="00124321"/>
    <w:rsid w:val="00125A20"/>
    <w:rsid w:val="00126BB4"/>
    <w:rsid w:val="001319A6"/>
    <w:rsid w:val="00132DE4"/>
    <w:rsid w:val="00133736"/>
    <w:rsid w:val="001365F8"/>
    <w:rsid w:val="0014378D"/>
    <w:rsid w:val="0014511A"/>
    <w:rsid w:val="001465FA"/>
    <w:rsid w:val="00152CB9"/>
    <w:rsid w:val="00152DF3"/>
    <w:rsid w:val="00154EBB"/>
    <w:rsid w:val="00156398"/>
    <w:rsid w:val="00163450"/>
    <w:rsid w:val="0016405F"/>
    <w:rsid w:val="00164620"/>
    <w:rsid w:val="001670C6"/>
    <w:rsid w:val="00170DA2"/>
    <w:rsid w:val="00171308"/>
    <w:rsid w:val="00173C07"/>
    <w:rsid w:val="00174166"/>
    <w:rsid w:val="001768BE"/>
    <w:rsid w:val="00181109"/>
    <w:rsid w:val="00184CFC"/>
    <w:rsid w:val="001860E8"/>
    <w:rsid w:val="001866DA"/>
    <w:rsid w:val="00186F0A"/>
    <w:rsid w:val="00191B4C"/>
    <w:rsid w:val="001A6238"/>
    <w:rsid w:val="001A68DB"/>
    <w:rsid w:val="001A75A5"/>
    <w:rsid w:val="001B0352"/>
    <w:rsid w:val="001B10BB"/>
    <w:rsid w:val="001B1E4D"/>
    <w:rsid w:val="001B5284"/>
    <w:rsid w:val="001B71B0"/>
    <w:rsid w:val="001C1004"/>
    <w:rsid w:val="001C26DF"/>
    <w:rsid w:val="001C52E9"/>
    <w:rsid w:val="001C6B28"/>
    <w:rsid w:val="001D024F"/>
    <w:rsid w:val="001D1E91"/>
    <w:rsid w:val="001D32C6"/>
    <w:rsid w:val="001E341E"/>
    <w:rsid w:val="001E5182"/>
    <w:rsid w:val="001E6AC6"/>
    <w:rsid w:val="001F055B"/>
    <w:rsid w:val="001F10A2"/>
    <w:rsid w:val="001F2F9A"/>
    <w:rsid w:val="001F3C42"/>
    <w:rsid w:val="001F47D5"/>
    <w:rsid w:val="0020155D"/>
    <w:rsid w:val="00201B03"/>
    <w:rsid w:val="00202197"/>
    <w:rsid w:val="002069A7"/>
    <w:rsid w:val="00206A11"/>
    <w:rsid w:val="00207FA2"/>
    <w:rsid w:val="00212C95"/>
    <w:rsid w:val="00213954"/>
    <w:rsid w:val="00215FB7"/>
    <w:rsid w:val="002200A0"/>
    <w:rsid w:val="00221796"/>
    <w:rsid w:val="0022399C"/>
    <w:rsid w:val="0022595F"/>
    <w:rsid w:val="00230492"/>
    <w:rsid w:val="0023186C"/>
    <w:rsid w:val="002320D3"/>
    <w:rsid w:val="00232E12"/>
    <w:rsid w:val="00235876"/>
    <w:rsid w:val="00240C1B"/>
    <w:rsid w:val="00246D46"/>
    <w:rsid w:val="00251F48"/>
    <w:rsid w:val="00252200"/>
    <w:rsid w:val="00253C13"/>
    <w:rsid w:val="00253F41"/>
    <w:rsid w:val="00254DC9"/>
    <w:rsid w:val="00256D81"/>
    <w:rsid w:val="0026066D"/>
    <w:rsid w:val="002615D0"/>
    <w:rsid w:val="0026163D"/>
    <w:rsid w:val="002630C4"/>
    <w:rsid w:val="00267992"/>
    <w:rsid w:val="00267B1B"/>
    <w:rsid w:val="00270CF0"/>
    <w:rsid w:val="002721BA"/>
    <w:rsid w:val="002737EE"/>
    <w:rsid w:val="002834A5"/>
    <w:rsid w:val="00284128"/>
    <w:rsid w:val="00284199"/>
    <w:rsid w:val="002844AE"/>
    <w:rsid w:val="0028524C"/>
    <w:rsid w:val="00285C1F"/>
    <w:rsid w:val="00290F20"/>
    <w:rsid w:val="00293857"/>
    <w:rsid w:val="00294541"/>
    <w:rsid w:val="0029491E"/>
    <w:rsid w:val="002949C3"/>
    <w:rsid w:val="002968FA"/>
    <w:rsid w:val="002A183A"/>
    <w:rsid w:val="002A2B75"/>
    <w:rsid w:val="002A3D53"/>
    <w:rsid w:val="002A45CA"/>
    <w:rsid w:val="002A5ACA"/>
    <w:rsid w:val="002A60C2"/>
    <w:rsid w:val="002B2141"/>
    <w:rsid w:val="002C17AB"/>
    <w:rsid w:val="002C48F5"/>
    <w:rsid w:val="002C4FB3"/>
    <w:rsid w:val="002C6A94"/>
    <w:rsid w:val="002D0422"/>
    <w:rsid w:val="002D1A12"/>
    <w:rsid w:val="002D218A"/>
    <w:rsid w:val="002D72B5"/>
    <w:rsid w:val="002E5B0A"/>
    <w:rsid w:val="002F03F8"/>
    <w:rsid w:val="002F21C8"/>
    <w:rsid w:val="002F261A"/>
    <w:rsid w:val="002F420C"/>
    <w:rsid w:val="00303A84"/>
    <w:rsid w:val="0030695E"/>
    <w:rsid w:val="0031013A"/>
    <w:rsid w:val="00311228"/>
    <w:rsid w:val="00311F05"/>
    <w:rsid w:val="00313A25"/>
    <w:rsid w:val="003140D2"/>
    <w:rsid w:val="00314A04"/>
    <w:rsid w:val="00314AF2"/>
    <w:rsid w:val="00316856"/>
    <w:rsid w:val="00317D3D"/>
    <w:rsid w:val="003214F0"/>
    <w:rsid w:val="00321A3E"/>
    <w:rsid w:val="003233D7"/>
    <w:rsid w:val="00324DE4"/>
    <w:rsid w:val="0032683D"/>
    <w:rsid w:val="00331E2C"/>
    <w:rsid w:val="003327E6"/>
    <w:rsid w:val="00334572"/>
    <w:rsid w:val="003356AF"/>
    <w:rsid w:val="00336110"/>
    <w:rsid w:val="00336219"/>
    <w:rsid w:val="00341850"/>
    <w:rsid w:val="003419EC"/>
    <w:rsid w:val="00347CAC"/>
    <w:rsid w:val="0035239F"/>
    <w:rsid w:val="00357B95"/>
    <w:rsid w:val="00361C89"/>
    <w:rsid w:val="0036345E"/>
    <w:rsid w:val="003638F9"/>
    <w:rsid w:val="003709EB"/>
    <w:rsid w:val="0037230F"/>
    <w:rsid w:val="00372F6F"/>
    <w:rsid w:val="00375CC3"/>
    <w:rsid w:val="003800AA"/>
    <w:rsid w:val="00390766"/>
    <w:rsid w:val="00397E4F"/>
    <w:rsid w:val="003A0BD6"/>
    <w:rsid w:val="003A2F1C"/>
    <w:rsid w:val="003A73C0"/>
    <w:rsid w:val="003B4D96"/>
    <w:rsid w:val="003B7E08"/>
    <w:rsid w:val="003C2AED"/>
    <w:rsid w:val="003C7261"/>
    <w:rsid w:val="003D175B"/>
    <w:rsid w:val="003D1C54"/>
    <w:rsid w:val="003D6DD2"/>
    <w:rsid w:val="003D764C"/>
    <w:rsid w:val="003E18FF"/>
    <w:rsid w:val="003E2BDC"/>
    <w:rsid w:val="003E3104"/>
    <w:rsid w:val="003E34BF"/>
    <w:rsid w:val="003E5218"/>
    <w:rsid w:val="003E5281"/>
    <w:rsid w:val="003E7B83"/>
    <w:rsid w:val="003F7038"/>
    <w:rsid w:val="003F7125"/>
    <w:rsid w:val="004016DF"/>
    <w:rsid w:val="00403003"/>
    <w:rsid w:val="004030B1"/>
    <w:rsid w:val="0040685C"/>
    <w:rsid w:val="004078D0"/>
    <w:rsid w:val="0041116F"/>
    <w:rsid w:val="004129AF"/>
    <w:rsid w:val="00413641"/>
    <w:rsid w:val="00413724"/>
    <w:rsid w:val="00415F78"/>
    <w:rsid w:val="004173BB"/>
    <w:rsid w:val="0042062E"/>
    <w:rsid w:val="004249EE"/>
    <w:rsid w:val="00424CB5"/>
    <w:rsid w:val="00425A2E"/>
    <w:rsid w:val="00425DA9"/>
    <w:rsid w:val="00426328"/>
    <w:rsid w:val="0042665B"/>
    <w:rsid w:val="00431E7D"/>
    <w:rsid w:val="00432985"/>
    <w:rsid w:val="00435056"/>
    <w:rsid w:val="00435165"/>
    <w:rsid w:val="00435496"/>
    <w:rsid w:val="00435524"/>
    <w:rsid w:val="00436209"/>
    <w:rsid w:val="00437C16"/>
    <w:rsid w:val="004442CD"/>
    <w:rsid w:val="004452C7"/>
    <w:rsid w:val="00446311"/>
    <w:rsid w:val="00452B6B"/>
    <w:rsid w:val="00457AC3"/>
    <w:rsid w:val="00457C2D"/>
    <w:rsid w:val="00460348"/>
    <w:rsid w:val="00464C39"/>
    <w:rsid w:val="0046686E"/>
    <w:rsid w:val="00466C46"/>
    <w:rsid w:val="00470252"/>
    <w:rsid w:val="00472DEA"/>
    <w:rsid w:val="0047318C"/>
    <w:rsid w:val="00475F20"/>
    <w:rsid w:val="004819C2"/>
    <w:rsid w:val="00483322"/>
    <w:rsid w:val="004848AF"/>
    <w:rsid w:val="00485ED9"/>
    <w:rsid w:val="00487569"/>
    <w:rsid w:val="004922EB"/>
    <w:rsid w:val="004A251F"/>
    <w:rsid w:val="004A5B94"/>
    <w:rsid w:val="004A6811"/>
    <w:rsid w:val="004A6954"/>
    <w:rsid w:val="004A74A9"/>
    <w:rsid w:val="004A7927"/>
    <w:rsid w:val="004B3E11"/>
    <w:rsid w:val="004C1620"/>
    <w:rsid w:val="004C18A5"/>
    <w:rsid w:val="004C1D5A"/>
    <w:rsid w:val="004C2EAE"/>
    <w:rsid w:val="004C56A0"/>
    <w:rsid w:val="004C5EB8"/>
    <w:rsid w:val="004C5FA1"/>
    <w:rsid w:val="004C61AD"/>
    <w:rsid w:val="004D02FB"/>
    <w:rsid w:val="004D1268"/>
    <w:rsid w:val="004D35D7"/>
    <w:rsid w:val="004D438D"/>
    <w:rsid w:val="004D55B0"/>
    <w:rsid w:val="004D5D5F"/>
    <w:rsid w:val="004D6639"/>
    <w:rsid w:val="004D66AA"/>
    <w:rsid w:val="004D6787"/>
    <w:rsid w:val="004D6F4C"/>
    <w:rsid w:val="004E0F36"/>
    <w:rsid w:val="004E11DD"/>
    <w:rsid w:val="004E3D25"/>
    <w:rsid w:val="004E498C"/>
    <w:rsid w:val="004E4C4B"/>
    <w:rsid w:val="004E4CEE"/>
    <w:rsid w:val="004E7F98"/>
    <w:rsid w:val="004F0C66"/>
    <w:rsid w:val="004F40C7"/>
    <w:rsid w:val="004F7995"/>
    <w:rsid w:val="004F7AA9"/>
    <w:rsid w:val="005004A2"/>
    <w:rsid w:val="00503C2F"/>
    <w:rsid w:val="00505DC2"/>
    <w:rsid w:val="0050725F"/>
    <w:rsid w:val="005110C4"/>
    <w:rsid w:val="00511797"/>
    <w:rsid w:val="005127D4"/>
    <w:rsid w:val="00512F5E"/>
    <w:rsid w:val="0051493D"/>
    <w:rsid w:val="00514EA0"/>
    <w:rsid w:val="0051515F"/>
    <w:rsid w:val="00516C7C"/>
    <w:rsid w:val="00520CF5"/>
    <w:rsid w:val="005223A6"/>
    <w:rsid w:val="00523434"/>
    <w:rsid w:val="00523C15"/>
    <w:rsid w:val="00524011"/>
    <w:rsid w:val="0052593F"/>
    <w:rsid w:val="00530146"/>
    <w:rsid w:val="00532DBE"/>
    <w:rsid w:val="005360A0"/>
    <w:rsid w:val="00536F80"/>
    <w:rsid w:val="005400DB"/>
    <w:rsid w:val="00543455"/>
    <w:rsid w:val="005451A0"/>
    <w:rsid w:val="00545B02"/>
    <w:rsid w:val="00551673"/>
    <w:rsid w:val="00554B78"/>
    <w:rsid w:val="0055569D"/>
    <w:rsid w:val="00556350"/>
    <w:rsid w:val="00557516"/>
    <w:rsid w:val="0056050E"/>
    <w:rsid w:val="00567B84"/>
    <w:rsid w:val="00572543"/>
    <w:rsid w:val="005805A6"/>
    <w:rsid w:val="005855E6"/>
    <w:rsid w:val="0058626F"/>
    <w:rsid w:val="00586600"/>
    <w:rsid w:val="00587DB1"/>
    <w:rsid w:val="00587E43"/>
    <w:rsid w:val="005912DD"/>
    <w:rsid w:val="00591DFD"/>
    <w:rsid w:val="00592F8A"/>
    <w:rsid w:val="00593E14"/>
    <w:rsid w:val="005A25C3"/>
    <w:rsid w:val="005A3891"/>
    <w:rsid w:val="005A55DE"/>
    <w:rsid w:val="005A77BF"/>
    <w:rsid w:val="005B07DD"/>
    <w:rsid w:val="005B2F09"/>
    <w:rsid w:val="005B5D7F"/>
    <w:rsid w:val="005C0BD8"/>
    <w:rsid w:val="005C4D06"/>
    <w:rsid w:val="005C68EF"/>
    <w:rsid w:val="005D1B7F"/>
    <w:rsid w:val="005D208E"/>
    <w:rsid w:val="005D2B2A"/>
    <w:rsid w:val="005D3C11"/>
    <w:rsid w:val="005D4BB1"/>
    <w:rsid w:val="005D5D94"/>
    <w:rsid w:val="005D7008"/>
    <w:rsid w:val="005E17CB"/>
    <w:rsid w:val="005F2C00"/>
    <w:rsid w:val="005F3FC5"/>
    <w:rsid w:val="005F465D"/>
    <w:rsid w:val="005F4FAF"/>
    <w:rsid w:val="005F6F0B"/>
    <w:rsid w:val="00600467"/>
    <w:rsid w:val="006026F4"/>
    <w:rsid w:val="00602E38"/>
    <w:rsid w:val="00605767"/>
    <w:rsid w:val="00606400"/>
    <w:rsid w:val="00610115"/>
    <w:rsid w:val="006164C7"/>
    <w:rsid w:val="0062280F"/>
    <w:rsid w:val="0062548C"/>
    <w:rsid w:val="0063306E"/>
    <w:rsid w:val="006338DA"/>
    <w:rsid w:val="00636087"/>
    <w:rsid w:val="006414F2"/>
    <w:rsid w:val="0064223A"/>
    <w:rsid w:val="006424EB"/>
    <w:rsid w:val="00644296"/>
    <w:rsid w:val="0064451C"/>
    <w:rsid w:val="006448AB"/>
    <w:rsid w:val="00645B6A"/>
    <w:rsid w:val="006479F0"/>
    <w:rsid w:val="0065278A"/>
    <w:rsid w:val="006530F5"/>
    <w:rsid w:val="00653105"/>
    <w:rsid w:val="006559CE"/>
    <w:rsid w:val="00660E81"/>
    <w:rsid w:val="006632B3"/>
    <w:rsid w:val="006725AF"/>
    <w:rsid w:val="006729D8"/>
    <w:rsid w:val="00674A79"/>
    <w:rsid w:val="00674AE9"/>
    <w:rsid w:val="00675E65"/>
    <w:rsid w:val="0068360C"/>
    <w:rsid w:val="00683682"/>
    <w:rsid w:val="006855FC"/>
    <w:rsid w:val="00691805"/>
    <w:rsid w:val="006922FC"/>
    <w:rsid w:val="00693E5C"/>
    <w:rsid w:val="00694BCE"/>
    <w:rsid w:val="006A0858"/>
    <w:rsid w:val="006A771C"/>
    <w:rsid w:val="006B0E8A"/>
    <w:rsid w:val="006B13EE"/>
    <w:rsid w:val="006B19FC"/>
    <w:rsid w:val="006B3B05"/>
    <w:rsid w:val="006B43BF"/>
    <w:rsid w:val="006B4C73"/>
    <w:rsid w:val="006C0B03"/>
    <w:rsid w:val="006C27A8"/>
    <w:rsid w:val="006C48DC"/>
    <w:rsid w:val="006C4F80"/>
    <w:rsid w:val="006C592B"/>
    <w:rsid w:val="006C5A76"/>
    <w:rsid w:val="006C62AA"/>
    <w:rsid w:val="006D02E3"/>
    <w:rsid w:val="006D2DB8"/>
    <w:rsid w:val="006F1912"/>
    <w:rsid w:val="006F29E5"/>
    <w:rsid w:val="006F3A12"/>
    <w:rsid w:val="00702028"/>
    <w:rsid w:val="0070495B"/>
    <w:rsid w:val="007054FE"/>
    <w:rsid w:val="00707252"/>
    <w:rsid w:val="00710B37"/>
    <w:rsid w:val="0071367F"/>
    <w:rsid w:val="00714762"/>
    <w:rsid w:val="00715E13"/>
    <w:rsid w:val="00721493"/>
    <w:rsid w:val="00723CAB"/>
    <w:rsid w:val="00726D84"/>
    <w:rsid w:val="007324FC"/>
    <w:rsid w:val="00734322"/>
    <w:rsid w:val="00734456"/>
    <w:rsid w:val="00745B32"/>
    <w:rsid w:val="00746151"/>
    <w:rsid w:val="007469B1"/>
    <w:rsid w:val="00753AF0"/>
    <w:rsid w:val="007541D4"/>
    <w:rsid w:val="00754399"/>
    <w:rsid w:val="007549AC"/>
    <w:rsid w:val="00760180"/>
    <w:rsid w:val="00761BD3"/>
    <w:rsid w:val="00763B85"/>
    <w:rsid w:val="007708C1"/>
    <w:rsid w:val="00774274"/>
    <w:rsid w:val="00774C20"/>
    <w:rsid w:val="00775E00"/>
    <w:rsid w:val="00776D23"/>
    <w:rsid w:val="0078601B"/>
    <w:rsid w:val="0078771F"/>
    <w:rsid w:val="007901B1"/>
    <w:rsid w:val="00790DD0"/>
    <w:rsid w:val="0079146E"/>
    <w:rsid w:val="007914D1"/>
    <w:rsid w:val="00797CCF"/>
    <w:rsid w:val="007A3BE2"/>
    <w:rsid w:val="007A4641"/>
    <w:rsid w:val="007A59E7"/>
    <w:rsid w:val="007A673C"/>
    <w:rsid w:val="007B2AF7"/>
    <w:rsid w:val="007B44D8"/>
    <w:rsid w:val="007B64E2"/>
    <w:rsid w:val="007C52C7"/>
    <w:rsid w:val="007C5FAA"/>
    <w:rsid w:val="007C6AE4"/>
    <w:rsid w:val="007C6CD5"/>
    <w:rsid w:val="007C71C3"/>
    <w:rsid w:val="007C74AA"/>
    <w:rsid w:val="007D13D8"/>
    <w:rsid w:val="007D2CE6"/>
    <w:rsid w:val="007D3DCC"/>
    <w:rsid w:val="007D5DBA"/>
    <w:rsid w:val="007E0500"/>
    <w:rsid w:val="007E3E1E"/>
    <w:rsid w:val="007E5381"/>
    <w:rsid w:val="007E610E"/>
    <w:rsid w:val="007E7346"/>
    <w:rsid w:val="007E7ABF"/>
    <w:rsid w:val="007F22C9"/>
    <w:rsid w:val="007F26CA"/>
    <w:rsid w:val="007F4C07"/>
    <w:rsid w:val="00800A5F"/>
    <w:rsid w:val="0080267C"/>
    <w:rsid w:val="00802B02"/>
    <w:rsid w:val="00804804"/>
    <w:rsid w:val="00810CF8"/>
    <w:rsid w:val="00815009"/>
    <w:rsid w:val="00824DD7"/>
    <w:rsid w:val="00825631"/>
    <w:rsid w:val="00826649"/>
    <w:rsid w:val="00826926"/>
    <w:rsid w:val="00831802"/>
    <w:rsid w:val="00834D4F"/>
    <w:rsid w:val="00834ED2"/>
    <w:rsid w:val="00835424"/>
    <w:rsid w:val="00836E61"/>
    <w:rsid w:val="0083730F"/>
    <w:rsid w:val="00837D1A"/>
    <w:rsid w:val="008403A7"/>
    <w:rsid w:val="0084173A"/>
    <w:rsid w:val="00841A83"/>
    <w:rsid w:val="00842253"/>
    <w:rsid w:val="00844C5C"/>
    <w:rsid w:val="008459BD"/>
    <w:rsid w:val="00847B50"/>
    <w:rsid w:val="00847DF8"/>
    <w:rsid w:val="0085178B"/>
    <w:rsid w:val="00852372"/>
    <w:rsid w:val="008535B1"/>
    <w:rsid w:val="00855145"/>
    <w:rsid w:val="00856487"/>
    <w:rsid w:val="00860A39"/>
    <w:rsid w:val="00861A43"/>
    <w:rsid w:val="008656FE"/>
    <w:rsid w:val="00866BB6"/>
    <w:rsid w:val="00866FFE"/>
    <w:rsid w:val="00867751"/>
    <w:rsid w:val="008705EA"/>
    <w:rsid w:val="00876087"/>
    <w:rsid w:val="0087705D"/>
    <w:rsid w:val="008779C8"/>
    <w:rsid w:val="008801B0"/>
    <w:rsid w:val="008827CD"/>
    <w:rsid w:val="00884EE0"/>
    <w:rsid w:val="00886633"/>
    <w:rsid w:val="00886C23"/>
    <w:rsid w:val="008923CA"/>
    <w:rsid w:val="00892867"/>
    <w:rsid w:val="008931C1"/>
    <w:rsid w:val="008936DA"/>
    <w:rsid w:val="00893CEE"/>
    <w:rsid w:val="00894D75"/>
    <w:rsid w:val="00897F68"/>
    <w:rsid w:val="008A0E2C"/>
    <w:rsid w:val="008A1FD9"/>
    <w:rsid w:val="008A2C4B"/>
    <w:rsid w:val="008A419A"/>
    <w:rsid w:val="008A677D"/>
    <w:rsid w:val="008A6C69"/>
    <w:rsid w:val="008A748D"/>
    <w:rsid w:val="008A74C7"/>
    <w:rsid w:val="008B16C6"/>
    <w:rsid w:val="008C0D89"/>
    <w:rsid w:val="008C2179"/>
    <w:rsid w:val="008C3326"/>
    <w:rsid w:val="008C403A"/>
    <w:rsid w:val="008D059C"/>
    <w:rsid w:val="008D23F1"/>
    <w:rsid w:val="008D25FC"/>
    <w:rsid w:val="008D4300"/>
    <w:rsid w:val="008D5484"/>
    <w:rsid w:val="008D5DA1"/>
    <w:rsid w:val="008D770D"/>
    <w:rsid w:val="008E1466"/>
    <w:rsid w:val="008E6E50"/>
    <w:rsid w:val="008F278A"/>
    <w:rsid w:val="008F79DD"/>
    <w:rsid w:val="00904578"/>
    <w:rsid w:val="00905737"/>
    <w:rsid w:val="009137F6"/>
    <w:rsid w:val="00920369"/>
    <w:rsid w:val="00921C33"/>
    <w:rsid w:val="00922003"/>
    <w:rsid w:val="009229E0"/>
    <w:rsid w:val="009235B0"/>
    <w:rsid w:val="00924CF6"/>
    <w:rsid w:val="00926BA4"/>
    <w:rsid w:val="00931CEB"/>
    <w:rsid w:val="00934C21"/>
    <w:rsid w:val="00937C30"/>
    <w:rsid w:val="00940529"/>
    <w:rsid w:val="00940590"/>
    <w:rsid w:val="009413EE"/>
    <w:rsid w:val="0094253F"/>
    <w:rsid w:val="0094609D"/>
    <w:rsid w:val="009641BC"/>
    <w:rsid w:val="009642AB"/>
    <w:rsid w:val="00971356"/>
    <w:rsid w:val="0097387F"/>
    <w:rsid w:val="00976149"/>
    <w:rsid w:val="00977A0B"/>
    <w:rsid w:val="00980981"/>
    <w:rsid w:val="00982870"/>
    <w:rsid w:val="00982DA9"/>
    <w:rsid w:val="0098527B"/>
    <w:rsid w:val="00986C83"/>
    <w:rsid w:val="00992FD0"/>
    <w:rsid w:val="009A139D"/>
    <w:rsid w:val="009A17B7"/>
    <w:rsid w:val="009A4A9C"/>
    <w:rsid w:val="009A4B44"/>
    <w:rsid w:val="009A5EEE"/>
    <w:rsid w:val="009B1C42"/>
    <w:rsid w:val="009B3BBB"/>
    <w:rsid w:val="009B5F61"/>
    <w:rsid w:val="009B5FAA"/>
    <w:rsid w:val="009C0063"/>
    <w:rsid w:val="009C3467"/>
    <w:rsid w:val="009C7780"/>
    <w:rsid w:val="009D37B3"/>
    <w:rsid w:val="009D3A83"/>
    <w:rsid w:val="009D6C81"/>
    <w:rsid w:val="009D7D2B"/>
    <w:rsid w:val="009E6669"/>
    <w:rsid w:val="009F0AF1"/>
    <w:rsid w:val="009F673A"/>
    <w:rsid w:val="00A00259"/>
    <w:rsid w:val="00A0078E"/>
    <w:rsid w:val="00A02328"/>
    <w:rsid w:val="00A04DF3"/>
    <w:rsid w:val="00A06272"/>
    <w:rsid w:val="00A06D57"/>
    <w:rsid w:val="00A15BA1"/>
    <w:rsid w:val="00A177FB"/>
    <w:rsid w:val="00A219D5"/>
    <w:rsid w:val="00A22028"/>
    <w:rsid w:val="00A23A07"/>
    <w:rsid w:val="00A303F0"/>
    <w:rsid w:val="00A3060A"/>
    <w:rsid w:val="00A31B0D"/>
    <w:rsid w:val="00A323D5"/>
    <w:rsid w:val="00A32846"/>
    <w:rsid w:val="00A331FD"/>
    <w:rsid w:val="00A34F20"/>
    <w:rsid w:val="00A37877"/>
    <w:rsid w:val="00A41A93"/>
    <w:rsid w:val="00A463A4"/>
    <w:rsid w:val="00A521D7"/>
    <w:rsid w:val="00A54370"/>
    <w:rsid w:val="00A5453B"/>
    <w:rsid w:val="00A6088C"/>
    <w:rsid w:val="00A61005"/>
    <w:rsid w:val="00A61ECC"/>
    <w:rsid w:val="00A62DFE"/>
    <w:rsid w:val="00A63FD4"/>
    <w:rsid w:val="00A71495"/>
    <w:rsid w:val="00A72A44"/>
    <w:rsid w:val="00A74F7E"/>
    <w:rsid w:val="00A76649"/>
    <w:rsid w:val="00A811FB"/>
    <w:rsid w:val="00A836DB"/>
    <w:rsid w:val="00A9311A"/>
    <w:rsid w:val="00A9424E"/>
    <w:rsid w:val="00A95644"/>
    <w:rsid w:val="00A959A8"/>
    <w:rsid w:val="00A970D7"/>
    <w:rsid w:val="00A97EE0"/>
    <w:rsid w:val="00AA0D47"/>
    <w:rsid w:val="00AA4180"/>
    <w:rsid w:val="00AA4521"/>
    <w:rsid w:val="00AA45DC"/>
    <w:rsid w:val="00AB3713"/>
    <w:rsid w:val="00AB4259"/>
    <w:rsid w:val="00AB572C"/>
    <w:rsid w:val="00AB5EAE"/>
    <w:rsid w:val="00AB6DA5"/>
    <w:rsid w:val="00AC27E3"/>
    <w:rsid w:val="00AC3EE6"/>
    <w:rsid w:val="00AC6158"/>
    <w:rsid w:val="00AD6B3A"/>
    <w:rsid w:val="00AE1705"/>
    <w:rsid w:val="00AE2403"/>
    <w:rsid w:val="00AE31CB"/>
    <w:rsid w:val="00AE377F"/>
    <w:rsid w:val="00AF11BD"/>
    <w:rsid w:val="00AF3C9E"/>
    <w:rsid w:val="00AF42DA"/>
    <w:rsid w:val="00AF5416"/>
    <w:rsid w:val="00AF6664"/>
    <w:rsid w:val="00B131EE"/>
    <w:rsid w:val="00B23191"/>
    <w:rsid w:val="00B25624"/>
    <w:rsid w:val="00B31D9A"/>
    <w:rsid w:val="00B325C4"/>
    <w:rsid w:val="00B35599"/>
    <w:rsid w:val="00B36356"/>
    <w:rsid w:val="00B366F9"/>
    <w:rsid w:val="00B425E9"/>
    <w:rsid w:val="00B4351B"/>
    <w:rsid w:val="00B43F24"/>
    <w:rsid w:val="00B447D5"/>
    <w:rsid w:val="00B44F16"/>
    <w:rsid w:val="00B45162"/>
    <w:rsid w:val="00B460BA"/>
    <w:rsid w:val="00B469E4"/>
    <w:rsid w:val="00B513F1"/>
    <w:rsid w:val="00B5323E"/>
    <w:rsid w:val="00B538F0"/>
    <w:rsid w:val="00B569EB"/>
    <w:rsid w:val="00B610BF"/>
    <w:rsid w:val="00B61EDD"/>
    <w:rsid w:val="00B6368D"/>
    <w:rsid w:val="00B63D84"/>
    <w:rsid w:val="00B640E4"/>
    <w:rsid w:val="00B65382"/>
    <w:rsid w:val="00B7012C"/>
    <w:rsid w:val="00B7381C"/>
    <w:rsid w:val="00B746AF"/>
    <w:rsid w:val="00B8080B"/>
    <w:rsid w:val="00B81D3D"/>
    <w:rsid w:val="00B84DF6"/>
    <w:rsid w:val="00B864CA"/>
    <w:rsid w:val="00B90D10"/>
    <w:rsid w:val="00B92FA6"/>
    <w:rsid w:val="00B93775"/>
    <w:rsid w:val="00B9613E"/>
    <w:rsid w:val="00BA22DC"/>
    <w:rsid w:val="00BA42BB"/>
    <w:rsid w:val="00BA4D57"/>
    <w:rsid w:val="00BB42A4"/>
    <w:rsid w:val="00BB6AFF"/>
    <w:rsid w:val="00BC088F"/>
    <w:rsid w:val="00BC2234"/>
    <w:rsid w:val="00BC2D03"/>
    <w:rsid w:val="00BC3679"/>
    <w:rsid w:val="00BC4ED3"/>
    <w:rsid w:val="00BC57A2"/>
    <w:rsid w:val="00BD0D46"/>
    <w:rsid w:val="00BD16F9"/>
    <w:rsid w:val="00BD1A30"/>
    <w:rsid w:val="00BD3718"/>
    <w:rsid w:val="00BD4E25"/>
    <w:rsid w:val="00BE141B"/>
    <w:rsid w:val="00BE23ED"/>
    <w:rsid w:val="00BE46D8"/>
    <w:rsid w:val="00BE7208"/>
    <w:rsid w:val="00BF3E7F"/>
    <w:rsid w:val="00BF50FA"/>
    <w:rsid w:val="00BF610E"/>
    <w:rsid w:val="00BF61BC"/>
    <w:rsid w:val="00BF7079"/>
    <w:rsid w:val="00C00450"/>
    <w:rsid w:val="00C027E5"/>
    <w:rsid w:val="00C05075"/>
    <w:rsid w:val="00C05F38"/>
    <w:rsid w:val="00C10D55"/>
    <w:rsid w:val="00C13C87"/>
    <w:rsid w:val="00C140E2"/>
    <w:rsid w:val="00C1605B"/>
    <w:rsid w:val="00C173E6"/>
    <w:rsid w:val="00C2078E"/>
    <w:rsid w:val="00C224A5"/>
    <w:rsid w:val="00C23823"/>
    <w:rsid w:val="00C25011"/>
    <w:rsid w:val="00C25F48"/>
    <w:rsid w:val="00C2641F"/>
    <w:rsid w:val="00C27E27"/>
    <w:rsid w:val="00C30FD9"/>
    <w:rsid w:val="00C36998"/>
    <w:rsid w:val="00C378AB"/>
    <w:rsid w:val="00C423D5"/>
    <w:rsid w:val="00C43ED1"/>
    <w:rsid w:val="00C449A4"/>
    <w:rsid w:val="00C44CC8"/>
    <w:rsid w:val="00C459D8"/>
    <w:rsid w:val="00C53699"/>
    <w:rsid w:val="00C539A6"/>
    <w:rsid w:val="00C6077C"/>
    <w:rsid w:val="00C625F1"/>
    <w:rsid w:val="00C643B0"/>
    <w:rsid w:val="00C64557"/>
    <w:rsid w:val="00C64794"/>
    <w:rsid w:val="00C65E65"/>
    <w:rsid w:val="00C707F9"/>
    <w:rsid w:val="00C721DC"/>
    <w:rsid w:val="00C72C71"/>
    <w:rsid w:val="00C772EA"/>
    <w:rsid w:val="00C835BB"/>
    <w:rsid w:val="00C85534"/>
    <w:rsid w:val="00C863DC"/>
    <w:rsid w:val="00C87546"/>
    <w:rsid w:val="00C876AA"/>
    <w:rsid w:val="00C91638"/>
    <w:rsid w:val="00C92A2D"/>
    <w:rsid w:val="00C96397"/>
    <w:rsid w:val="00C9760F"/>
    <w:rsid w:val="00CA4F97"/>
    <w:rsid w:val="00CA51E7"/>
    <w:rsid w:val="00CA63EF"/>
    <w:rsid w:val="00CB0A11"/>
    <w:rsid w:val="00CB244E"/>
    <w:rsid w:val="00CB292B"/>
    <w:rsid w:val="00CB7F9C"/>
    <w:rsid w:val="00CC2603"/>
    <w:rsid w:val="00CC36C0"/>
    <w:rsid w:val="00CC48B3"/>
    <w:rsid w:val="00CD1F89"/>
    <w:rsid w:val="00CD3B93"/>
    <w:rsid w:val="00CD522D"/>
    <w:rsid w:val="00CD76CE"/>
    <w:rsid w:val="00CE02A6"/>
    <w:rsid w:val="00CE0854"/>
    <w:rsid w:val="00CE4355"/>
    <w:rsid w:val="00CE6FF4"/>
    <w:rsid w:val="00CF074A"/>
    <w:rsid w:val="00CF2876"/>
    <w:rsid w:val="00CF6C86"/>
    <w:rsid w:val="00CF7279"/>
    <w:rsid w:val="00CF74C4"/>
    <w:rsid w:val="00D01FAB"/>
    <w:rsid w:val="00D02FF7"/>
    <w:rsid w:val="00D054E2"/>
    <w:rsid w:val="00D05A0D"/>
    <w:rsid w:val="00D05AC6"/>
    <w:rsid w:val="00D1057C"/>
    <w:rsid w:val="00D124C5"/>
    <w:rsid w:val="00D125B8"/>
    <w:rsid w:val="00D144CC"/>
    <w:rsid w:val="00D149CC"/>
    <w:rsid w:val="00D14E42"/>
    <w:rsid w:val="00D158FB"/>
    <w:rsid w:val="00D170B4"/>
    <w:rsid w:val="00D1714F"/>
    <w:rsid w:val="00D20146"/>
    <w:rsid w:val="00D20ADA"/>
    <w:rsid w:val="00D26F1A"/>
    <w:rsid w:val="00D27B17"/>
    <w:rsid w:val="00D3239A"/>
    <w:rsid w:val="00D32FDB"/>
    <w:rsid w:val="00D33305"/>
    <w:rsid w:val="00D342DD"/>
    <w:rsid w:val="00D36DD1"/>
    <w:rsid w:val="00D4003D"/>
    <w:rsid w:val="00D4011A"/>
    <w:rsid w:val="00D4214F"/>
    <w:rsid w:val="00D423A9"/>
    <w:rsid w:val="00D427CD"/>
    <w:rsid w:val="00D43A2B"/>
    <w:rsid w:val="00D45ACA"/>
    <w:rsid w:val="00D472B4"/>
    <w:rsid w:val="00D5142B"/>
    <w:rsid w:val="00D515ED"/>
    <w:rsid w:val="00D55CC1"/>
    <w:rsid w:val="00D60900"/>
    <w:rsid w:val="00D61533"/>
    <w:rsid w:val="00D61C77"/>
    <w:rsid w:val="00D645E7"/>
    <w:rsid w:val="00D652C5"/>
    <w:rsid w:val="00D6636F"/>
    <w:rsid w:val="00D732EC"/>
    <w:rsid w:val="00D74E92"/>
    <w:rsid w:val="00D77B12"/>
    <w:rsid w:val="00D77B42"/>
    <w:rsid w:val="00D85163"/>
    <w:rsid w:val="00D8597D"/>
    <w:rsid w:val="00D8659C"/>
    <w:rsid w:val="00D9067C"/>
    <w:rsid w:val="00D92C26"/>
    <w:rsid w:val="00D93822"/>
    <w:rsid w:val="00D979BD"/>
    <w:rsid w:val="00DA1669"/>
    <w:rsid w:val="00DA2773"/>
    <w:rsid w:val="00DA348B"/>
    <w:rsid w:val="00DA5931"/>
    <w:rsid w:val="00DA6866"/>
    <w:rsid w:val="00DA7D30"/>
    <w:rsid w:val="00DB2459"/>
    <w:rsid w:val="00DB4EEF"/>
    <w:rsid w:val="00DB6D24"/>
    <w:rsid w:val="00DC0DC9"/>
    <w:rsid w:val="00DC5114"/>
    <w:rsid w:val="00DC5361"/>
    <w:rsid w:val="00DC56DE"/>
    <w:rsid w:val="00DC6762"/>
    <w:rsid w:val="00DC67ED"/>
    <w:rsid w:val="00DC6CA0"/>
    <w:rsid w:val="00DD4636"/>
    <w:rsid w:val="00DD465F"/>
    <w:rsid w:val="00DD4EF9"/>
    <w:rsid w:val="00DE4E5F"/>
    <w:rsid w:val="00DE5651"/>
    <w:rsid w:val="00DE6BBB"/>
    <w:rsid w:val="00DE7D07"/>
    <w:rsid w:val="00DF0242"/>
    <w:rsid w:val="00DF0E04"/>
    <w:rsid w:val="00DF21D4"/>
    <w:rsid w:val="00DF7460"/>
    <w:rsid w:val="00E05B1C"/>
    <w:rsid w:val="00E05D20"/>
    <w:rsid w:val="00E069AD"/>
    <w:rsid w:val="00E07AD4"/>
    <w:rsid w:val="00E1230E"/>
    <w:rsid w:val="00E12A12"/>
    <w:rsid w:val="00E20437"/>
    <w:rsid w:val="00E208C5"/>
    <w:rsid w:val="00E20D63"/>
    <w:rsid w:val="00E22959"/>
    <w:rsid w:val="00E22FA5"/>
    <w:rsid w:val="00E23760"/>
    <w:rsid w:val="00E26CAE"/>
    <w:rsid w:val="00E35513"/>
    <w:rsid w:val="00E3592A"/>
    <w:rsid w:val="00E371B3"/>
    <w:rsid w:val="00E371D4"/>
    <w:rsid w:val="00E41CAF"/>
    <w:rsid w:val="00E422E0"/>
    <w:rsid w:val="00E44A6D"/>
    <w:rsid w:val="00E44DE6"/>
    <w:rsid w:val="00E462AB"/>
    <w:rsid w:val="00E47244"/>
    <w:rsid w:val="00E472D7"/>
    <w:rsid w:val="00E55BCF"/>
    <w:rsid w:val="00E56D6B"/>
    <w:rsid w:val="00E57C65"/>
    <w:rsid w:val="00E57D71"/>
    <w:rsid w:val="00E609F7"/>
    <w:rsid w:val="00E661A8"/>
    <w:rsid w:val="00E66989"/>
    <w:rsid w:val="00E66E8D"/>
    <w:rsid w:val="00E70144"/>
    <w:rsid w:val="00E71081"/>
    <w:rsid w:val="00E74F2B"/>
    <w:rsid w:val="00E75FAD"/>
    <w:rsid w:val="00E77915"/>
    <w:rsid w:val="00E82F01"/>
    <w:rsid w:val="00E83343"/>
    <w:rsid w:val="00E8343C"/>
    <w:rsid w:val="00E848CA"/>
    <w:rsid w:val="00E851AD"/>
    <w:rsid w:val="00E87CA8"/>
    <w:rsid w:val="00E908CD"/>
    <w:rsid w:val="00E90D83"/>
    <w:rsid w:val="00E97C61"/>
    <w:rsid w:val="00EA2300"/>
    <w:rsid w:val="00EA64FA"/>
    <w:rsid w:val="00EA79A8"/>
    <w:rsid w:val="00EB33A6"/>
    <w:rsid w:val="00EB51DC"/>
    <w:rsid w:val="00EB5DEC"/>
    <w:rsid w:val="00EB63D7"/>
    <w:rsid w:val="00EB6DC6"/>
    <w:rsid w:val="00EB7D20"/>
    <w:rsid w:val="00EC4460"/>
    <w:rsid w:val="00EC6427"/>
    <w:rsid w:val="00EC79BA"/>
    <w:rsid w:val="00ED2C8B"/>
    <w:rsid w:val="00ED41D5"/>
    <w:rsid w:val="00ED56E8"/>
    <w:rsid w:val="00ED5F27"/>
    <w:rsid w:val="00ED795D"/>
    <w:rsid w:val="00EE1AC2"/>
    <w:rsid w:val="00EE21A1"/>
    <w:rsid w:val="00EE257E"/>
    <w:rsid w:val="00EE485A"/>
    <w:rsid w:val="00EF231C"/>
    <w:rsid w:val="00EF3DE5"/>
    <w:rsid w:val="00EF44F3"/>
    <w:rsid w:val="00EF5DC1"/>
    <w:rsid w:val="00EF7A03"/>
    <w:rsid w:val="00F011DD"/>
    <w:rsid w:val="00F024DB"/>
    <w:rsid w:val="00F026D2"/>
    <w:rsid w:val="00F047AD"/>
    <w:rsid w:val="00F10C87"/>
    <w:rsid w:val="00F141AB"/>
    <w:rsid w:val="00F149C0"/>
    <w:rsid w:val="00F15483"/>
    <w:rsid w:val="00F16AD0"/>
    <w:rsid w:val="00F21189"/>
    <w:rsid w:val="00F216FB"/>
    <w:rsid w:val="00F21CC0"/>
    <w:rsid w:val="00F22D1C"/>
    <w:rsid w:val="00F26B5D"/>
    <w:rsid w:val="00F3154C"/>
    <w:rsid w:val="00F34854"/>
    <w:rsid w:val="00F3796A"/>
    <w:rsid w:val="00F41586"/>
    <w:rsid w:val="00F43101"/>
    <w:rsid w:val="00F45A81"/>
    <w:rsid w:val="00F45EBC"/>
    <w:rsid w:val="00F47CBA"/>
    <w:rsid w:val="00F47F41"/>
    <w:rsid w:val="00F502C8"/>
    <w:rsid w:val="00F511D0"/>
    <w:rsid w:val="00F52C04"/>
    <w:rsid w:val="00F53DD9"/>
    <w:rsid w:val="00F55ED2"/>
    <w:rsid w:val="00F565DD"/>
    <w:rsid w:val="00F56E43"/>
    <w:rsid w:val="00F57881"/>
    <w:rsid w:val="00F57D02"/>
    <w:rsid w:val="00F6021B"/>
    <w:rsid w:val="00F60399"/>
    <w:rsid w:val="00F62200"/>
    <w:rsid w:val="00F63691"/>
    <w:rsid w:val="00F665E6"/>
    <w:rsid w:val="00F70093"/>
    <w:rsid w:val="00F70F5E"/>
    <w:rsid w:val="00F71CE2"/>
    <w:rsid w:val="00F721F0"/>
    <w:rsid w:val="00F7382F"/>
    <w:rsid w:val="00F7445E"/>
    <w:rsid w:val="00F7596B"/>
    <w:rsid w:val="00F77EBB"/>
    <w:rsid w:val="00F800E5"/>
    <w:rsid w:val="00F84D0C"/>
    <w:rsid w:val="00F8523C"/>
    <w:rsid w:val="00F85E8F"/>
    <w:rsid w:val="00F86071"/>
    <w:rsid w:val="00F86885"/>
    <w:rsid w:val="00F86D10"/>
    <w:rsid w:val="00F903F6"/>
    <w:rsid w:val="00F93A01"/>
    <w:rsid w:val="00F9630E"/>
    <w:rsid w:val="00F966F1"/>
    <w:rsid w:val="00FA3004"/>
    <w:rsid w:val="00FA35BE"/>
    <w:rsid w:val="00FA435B"/>
    <w:rsid w:val="00FA58F0"/>
    <w:rsid w:val="00FA5CA4"/>
    <w:rsid w:val="00FA7B3E"/>
    <w:rsid w:val="00FB0B21"/>
    <w:rsid w:val="00FB11E5"/>
    <w:rsid w:val="00FB1FC4"/>
    <w:rsid w:val="00FB5D0D"/>
    <w:rsid w:val="00FB7938"/>
    <w:rsid w:val="00FC4169"/>
    <w:rsid w:val="00FD10B0"/>
    <w:rsid w:val="00FD130D"/>
    <w:rsid w:val="00FD3622"/>
    <w:rsid w:val="00FD476F"/>
    <w:rsid w:val="00FD4A6E"/>
    <w:rsid w:val="00FE1C67"/>
    <w:rsid w:val="00FE2425"/>
    <w:rsid w:val="00FE3674"/>
    <w:rsid w:val="00FF1D96"/>
    <w:rsid w:val="00FF6F4E"/>
    <w:rsid w:val="00FF713D"/>
    <w:rsid w:val="00FF79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B84FA6-DF8E-4B5D-9B70-B59327B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3E"/>
  </w:style>
  <w:style w:type="paragraph" w:styleId="Heading1">
    <w:name w:val="heading 1"/>
    <w:basedOn w:val="Normal"/>
    <w:next w:val="Normal"/>
    <w:link w:val="Heading1Char"/>
    <w:uiPriority w:val="9"/>
    <w:qFormat/>
    <w:rsid w:val="00593E14"/>
    <w:pPr>
      <w:keepNext/>
      <w:keepLines/>
      <w:spacing w:before="120" w:after="12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Number01">
    <w:name w:val="Heading Number01"/>
    <w:basedOn w:val="ListParagraph"/>
    <w:link w:val="HeadingNumber01Char"/>
    <w:qFormat/>
    <w:rsid w:val="00FE2425"/>
    <w:pPr>
      <w:ind w:left="0"/>
      <w:jc w:val="center"/>
    </w:pPr>
    <w:rPr>
      <w:b/>
      <w:sz w:val="28"/>
    </w:rPr>
  </w:style>
  <w:style w:type="character" w:customStyle="1" w:styleId="HeadingNumber01Char">
    <w:name w:val="Heading Number01 Char"/>
    <w:basedOn w:val="ListParagraphChar"/>
    <w:link w:val="HeadingNumber01"/>
    <w:rsid w:val="00B7381C"/>
    <w:rPr>
      <w:b/>
      <w:sz w:val="28"/>
    </w:rPr>
  </w:style>
  <w:style w:type="paragraph" w:styleId="ListParagraph">
    <w:name w:val="List Paragraph"/>
    <w:basedOn w:val="Normal"/>
    <w:link w:val="ListParagraphChar"/>
    <w:qFormat/>
    <w:rsid w:val="00B9613E"/>
    <w:pPr>
      <w:ind w:left="720"/>
      <w:contextualSpacing/>
    </w:pPr>
  </w:style>
  <w:style w:type="paragraph" w:customStyle="1" w:styleId="HeadingNumber02">
    <w:name w:val="Heading Number02"/>
    <w:basedOn w:val="ListParagraph"/>
    <w:link w:val="HeadingNumber02Char"/>
    <w:qFormat/>
    <w:rsid w:val="00B9613E"/>
    <w:pPr>
      <w:numPr>
        <w:ilvl w:val="1"/>
        <w:numId w:val="20"/>
      </w:numPr>
    </w:pPr>
    <w:rPr>
      <w:color w:val="2E74B5" w:themeColor="accent1" w:themeShade="BF"/>
      <w:sz w:val="28"/>
    </w:rPr>
  </w:style>
  <w:style w:type="character" w:customStyle="1" w:styleId="HeadingNumber02Char">
    <w:name w:val="Heading Number02 Char"/>
    <w:basedOn w:val="ListParagraphChar"/>
    <w:link w:val="HeadingNumber02"/>
    <w:rsid w:val="00B9613E"/>
    <w:rPr>
      <w:color w:val="2E74B5" w:themeColor="accent1" w:themeShade="BF"/>
      <w:sz w:val="28"/>
    </w:rPr>
  </w:style>
  <w:style w:type="paragraph" w:customStyle="1" w:styleId="HeadingNumber03">
    <w:name w:val="Heading Number03"/>
    <w:basedOn w:val="ListParagraph"/>
    <w:link w:val="HeadingNumber03Char"/>
    <w:qFormat/>
    <w:rsid w:val="00B9613E"/>
    <w:pPr>
      <w:numPr>
        <w:ilvl w:val="2"/>
        <w:numId w:val="20"/>
      </w:numPr>
    </w:pPr>
    <w:rPr>
      <w:color w:val="2E74B5" w:themeColor="accent1" w:themeShade="BF"/>
    </w:rPr>
  </w:style>
  <w:style w:type="character" w:customStyle="1" w:styleId="HeadingNumber03Char">
    <w:name w:val="Heading Number03 Char"/>
    <w:basedOn w:val="ListParagraphChar"/>
    <w:link w:val="HeadingNumber03"/>
    <w:rsid w:val="00B9613E"/>
    <w:rPr>
      <w:color w:val="2E74B5" w:themeColor="accent1" w:themeShade="BF"/>
      <w:sz w:val="24"/>
    </w:rPr>
  </w:style>
  <w:style w:type="paragraph" w:customStyle="1" w:styleId="HeadingNumber04">
    <w:name w:val="Heading Number04"/>
    <w:basedOn w:val="ListParagraph"/>
    <w:link w:val="HeadingNumber04Char"/>
    <w:qFormat/>
    <w:rsid w:val="00B9613E"/>
    <w:pPr>
      <w:numPr>
        <w:ilvl w:val="3"/>
        <w:numId w:val="20"/>
      </w:numPr>
    </w:pPr>
    <w:rPr>
      <w:color w:val="2E74B5" w:themeColor="accent1" w:themeShade="BF"/>
    </w:rPr>
  </w:style>
  <w:style w:type="character" w:customStyle="1" w:styleId="HeadingNumber04Char">
    <w:name w:val="Heading Number04 Char"/>
    <w:basedOn w:val="ListParagraphChar"/>
    <w:link w:val="HeadingNumber04"/>
    <w:rsid w:val="00B9613E"/>
    <w:rPr>
      <w:rFonts w:ascii="Times New Roman" w:hAnsi="Times New Roman"/>
      <w:color w:val="2E74B5" w:themeColor="accent1" w:themeShade="BF"/>
    </w:rPr>
  </w:style>
  <w:style w:type="character" w:customStyle="1" w:styleId="ListParagraphChar">
    <w:name w:val="List Paragraph Char"/>
    <w:basedOn w:val="DefaultParagraphFont"/>
    <w:link w:val="ListParagraph"/>
    <w:uiPriority w:val="34"/>
    <w:rsid w:val="00B9613E"/>
  </w:style>
  <w:style w:type="paragraph" w:styleId="FootnoteText">
    <w:name w:val="footnote text"/>
    <w:basedOn w:val="Normal"/>
    <w:link w:val="FootnoteTextChar"/>
    <w:uiPriority w:val="99"/>
    <w:semiHidden/>
    <w:unhideWhenUsed/>
    <w:rsid w:val="00F511D0"/>
    <w:rPr>
      <w:sz w:val="20"/>
      <w:szCs w:val="20"/>
    </w:rPr>
  </w:style>
  <w:style w:type="character" w:customStyle="1" w:styleId="FootnoteTextChar">
    <w:name w:val="Footnote Text Char"/>
    <w:basedOn w:val="DefaultParagraphFont"/>
    <w:link w:val="FootnoteText"/>
    <w:uiPriority w:val="99"/>
    <w:semiHidden/>
    <w:rsid w:val="00F511D0"/>
    <w:rPr>
      <w:sz w:val="20"/>
      <w:szCs w:val="20"/>
    </w:rPr>
  </w:style>
  <w:style w:type="character" w:styleId="FootnoteReference">
    <w:name w:val="footnote reference"/>
    <w:basedOn w:val="DefaultParagraphFont"/>
    <w:uiPriority w:val="99"/>
    <w:semiHidden/>
    <w:unhideWhenUsed/>
    <w:rsid w:val="00F511D0"/>
    <w:rPr>
      <w:vertAlign w:val="superscript"/>
    </w:rPr>
  </w:style>
  <w:style w:type="paragraph" w:styleId="NoSpacing">
    <w:name w:val="No Spacing"/>
    <w:uiPriority w:val="1"/>
    <w:qFormat/>
    <w:rsid w:val="00847B50"/>
    <w:pPr>
      <w:suppressAutoHyphens/>
      <w:autoSpaceDN w:val="0"/>
      <w:textAlignment w:val="baseline"/>
    </w:pPr>
    <w:rPr>
      <w:rFonts w:ascii="Calibri" w:eastAsia="Calibri" w:hAnsi="Calibri"/>
      <w:sz w:val="22"/>
      <w:szCs w:val="22"/>
    </w:rPr>
  </w:style>
  <w:style w:type="character" w:customStyle="1" w:styleId="Heading1Char">
    <w:name w:val="Heading 1 Char"/>
    <w:basedOn w:val="DefaultParagraphFont"/>
    <w:link w:val="Heading1"/>
    <w:uiPriority w:val="9"/>
    <w:rsid w:val="00593E14"/>
    <w:rPr>
      <w:rFonts w:eastAsiaTheme="majorEastAsia" w:cstheme="majorBidi"/>
      <w:b/>
      <w:sz w:val="28"/>
      <w:szCs w:val="32"/>
    </w:rPr>
  </w:style>
  <w:style w:type="table" w:styleId="TableGrid">
    <w:name w:val="Table Grid"/>
    <w:basedOn w:val="TableNormal"/>
    <w:uiPriority w:val="39"/>
    <w:rsid w:val="0071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BD"/>
    <w:rPr>
      <w:rFonts w:ascii="Segoe UI" w:hAnsi="Segoe UI" w:cs="Segoe UI"/>
      <w:sz w:val="18"/>
      <w:szCs w:val="18"/>
    </w:rPr>
  </w:style>
  <w:style w:type="paragraph" w:styleId="Header">
    <w:name w:val="header"/>
    <w:basedOn w:val="Normal"/>
    <w:link w:val="HeaderChar"/>
    <w:uiPriority w:val="99"/>
    <w:unhideWhenUsed/>
    <w:rsid w:val="00F41586"/>
    <w:pPr>
      <w:tabs>
        <w:tab w:val="center" w:pos="4513"/>
        <w:tab w:val="right" w:pos="9026"/>
      </w:tabs>
    </w:pPr>
  </w:style>
  <w:style w:type="character" w:customStyle="1" w:styleId="HeaderChar">
    <w:name w:val="Header Char"/>
    <w:basedOn w:val="DefaultParagraphFont"/>
    <w:link w:val="Header"/>
    <w:uiPriority w:val="99"/>
    <w:rsid w:val="00F41586"/>
  </w:style>
  <w:style w:type="paragraph" w:styleId="Footer">
    <w:name w:val="footer"/>
    <w:basedOn w:val="Normal"/>
    <w:link w:val="FooterChar"/>
    <w:uiPriority w:val="99"/>
    <w:unhideWhenUsed/>
    <w:rsid w:val="00F41586"/>
    <w:pPr>
      <w:tabs>
        <w:tab w:val="center" w:pos="4513"/>
        <w:tab w:val="right" w:pos="9026"/>
      </w:tabs>
    </w:pPr>
  </w:style>
  <w:style w:type="character" w:customStyle="1" w:styleId="FooterChar">
    <w:name w:val="Footer Char"/>
    <w:basedOn w:val="DefaultParagraphFont"/>
    <w:link w:val="Footer"/>
    <w:uiPriority w:val="99"/>
    <w:rsid w:val="00F41586"/>
  </w:style>
  <w:style w:type="character" w:styleId="CommentReference">
    <w:name w:val="annotation reference"/>
    <w:basedOn w:val="DefaultParagraphFont"/>
    <w:uiPriority w:val="99"/>
    <w:semiHidden/>
    <w:unhideWhenUsed/>
    <w:rsid w:val="00133736"/>
    <w:rPr>
      <w:sz w:val="16"/>
      <w:szCs w:val="16"/>
    </w:rPr>
  </w:style>
  <w:style w:type="paragraph" w:styleId="CommentText">
    <w:name w:val="annotation text"/>
    <w:basedOn w:val="Normal"/>
    <w:link w:val="CommentTextChar"/>
    <w:uiPriority w:val="99"/>
    <w:semiHidden/>
    <w:unhideWhenUsed/>
    <w:rsid w:val="00133736"/>
    <w:rPr>
      <w:sz w:val="20"/>
      <w:szCs w:val="20"/>
    </w:rPr>
  </w:style>
  <w:style w:type="character" w:customStyle="1" w:styleId="CommentTextChar">
    <w:name w:val="Comment Text Char"/>
    <w:basedOn w:val="DefaultParagraphFont"/>
    <w:link w:val="CommentText"/>
    <w:uiPriority w:val="99"/>
    <w:semiHidden/>
    <w:rsid w:val="00133736"/>
    <w:rPr>
      <w:sz w:val="20"/>
      <w:szCs w:val="20"/>
    </w:rPr>
  </w:style>
  <w:style w:type="paragraph" w:styleId="CommentSubject">
    <w:name w:val="annotation subject"/>
    <w:basedOn w:val="CommentText"/>
    <w:next w:val="CommentText"/>
    <w:link w:val="CommentSubjectChar"/>
    <w:uiPriority w:val="99"/>
    <w:semiHidden/>
    <w:unhideWhenUsed/>
    <w:rsid w:val="00133736"/>
    <w:rPr>
      <w:b/>
      <w:bCs/>
    </w:rPr>
  </w:style>
  <w:style w:type="character" w:customStyle="1" w:styleId="CommentSubjectChar">
    <w:name w:val="Comment Subject Char"/>
    <w:basedOn w:val="CommentTextChar"/>
    <w:link w:val="CommentSubject"/>
    <w:uiPriority w:val="99"/>
    <w:semiHidden/>
    <w:rsid w:val="00133736"/>
    <w:rPr>
      <w:b/>
      <w:bCs/>
      <w:sz w:val="20"/>
      <w:szCs w:val="20"/>
    </w:rPr>
  </w:style>
  <w:style w:type="paragraph" w:styleId="Revision">
    <w:name w:val="Revision"/>
    <w:hidden/>
    <w:uiPriority w:val="99"/>
    <w:semiHidden/>
    <w:rsid w:val="00133736"/>
  </w:style>
  <w:style w:type="character" w:customStyle="1" w:styleId="slitbdy">
    <w:name w:val="s_lit_bdy"/>
    <w:basedOn w:val="DefaultParagraphFont"/>
    <w:rsid w:val="001F3C42"/>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8827CD"/>
    <w:rPr>
      <w:rFonts w:ascii="Verdana" w:hAnsi="Verdana" w:hint="default"/>
      <w:b w:val="0"/>
      <w:bCs w:val="0"/>
      <w:color w:val="000000"/>
      <w:sz w:val="20"/>
      <w:szCs w:val="20"/>
      <w:shd w:val="clear" w:color="auto" w:fill="FFFFFF"/>
    </w:rPr>
  </w:style>
  <w:style w:type="paragraph" w:customStyle="1" w:styleId="spar1">
    <w:name w:val="s_par1"/>
    <w:basedOn w:val="Normal"/>
    <w:rsid w:val="00F86885"/>
    <w:rPr>
      <w:rFonts w:ascii="Verdana" w:eastAsiaTheme="minorEastAsia" w:hAnsi="Verdana"/>
      <w:sz w:val="15"/>
      <w:szCs w:val="15"/>
      <w:lang w:val="en-US"/>
    </w:rPr>
  </w:style>
  <w:style w:type="paragraph" w:customStyle="1" w:styleId="spar">
    <w:name w:val="s_par"/>
    <w:basedOn w:val="Normal"/>
    <w:rsid w:val="00B640E4"/>
    <w:pPr>
      <w:ind w:left="225"/>
    </w:pPr>
    <w:rPr>
      <w:rFonts w:eastAsiaTheme="minorEastAsia"/>
      <w:lang w:val="en-US"/>
    </w:rPr>
  </w:style>
  <w:style w:type="character" w:styleId="PlaceholderText">
    <w:name w:val="Placeholder Text"/>
    <w:basedOn w:val="DefaultParagraphFont"/>
    <w:uiPriority w:val="99"/>
    <w:semiHidden/>
    <w:rsid w:val="008A74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8844">
      <w:bodyDiv w:val="1"/>
      <w:marLeft w:val="0"/>
      <w:marRight w:val="0"/>
      <w:marTop w:val="0"/>
      <w:marBottom w:val="0"/>
      <w:divBdr>
        <w:top w:val="none" w:sz="0" w:space="0" w:color="auto"/>
        <w:left w:val="none" w:sz="0" w:space="0" w:color="auto"/>
        <w:bottom w:val="none" w:sz="0" w:space="0" w:color="auto"/>
        <w:right w:val="none" w:sz="0" w:space="0" w:color="auto"/>
      </w:divBdr>
    </w:div>
    <w:div w:id="409036209">
      <w:bodyDiv w:val="1"/>
      <w:marLeft w:val="0"/>
      <w:marRight w:val="0"/>
      <w:marTop w:val="0"/>
      <w:marBottom w:val="0"/>
      <w:divBdr>
        <w:top w:val="none" w:sz="0" w:space="0" w:color="auto"/>
        <w:left w:val="none" w:sz="0" w:space="0" w:color="auto"/>
        <w:bottom w:val="none" w:sz="0" w:space="0" w:color="auto"/>
        <w:right w:val="none" w:sz="0" w:space="0" w:color="auto"/>
      </w:divBdr>
    </w:div>
    <w:div w:id="21122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A993-7430-49FD-8EEC-372285A5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7349</Words>
  <Characters>41890</Characters>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2024-06-27T06:08:00Z</cp:lastPrinted>
  <dcterms:created xsi:type="dcterms:W3CDTF">2024-06-27T06:00:00Z</dcterms:created>
  <dcterms:modified xsi:type="dcterms:W3CDTF">2024-07-03T06:10:00Z</dcterms:modified>
</cp:coreProperties>
</file>