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E7B7D" w14:textId="77777777" w:rsidR="009B1274" w:rsidRPr="000318CE" w:rsidRDefault="009B1274" w:rsidP="009B1274">
      <w:pPr>
        <w:autoSpaceDE w:val="0"/>
        <w:autoSpaceDN w:val="0"/>
        <w:spacing w:after="0" w:line="240" w:lineRule="auto"/>
        <w:jc w:val="right"/>
        <w:rPr>
          <w:rFonts w:ascii="Arial" w:eastAsia="Verdana" w:hAnsi="Arial" w:cs="Arial"/>
          <w:b/>
          <w:sz w:val="24"/>
          <w:szCs w:val="24"/>
          <w:lang w:eastAsia="ro-RO"/>
        </w:rPr>
      </w:pPr>
      <w:r w:rsidRPr="000318CE">
        <w:rPr>
          <w:rFonts w:ascii="Arial" w:eastAsia="Verdana" w:hAnsi="Arial" w:cs="Arial"/>
          <w:b/>
          <w:sz w:val="24"/>
          <w:szCs w:val="24"/>
          <w:lang w:eastAsia="ro-RO"/>
        </w:rPr>
        <w:t>Anexa nr. 4</w:t>
      </w:r>
    </w:p>
    <w:p w14:paraId="22241A37" w14:textId="77777777" w:rsidR="009B1274" w:rsidRPr="000318CE" w:rsidRDefault="009B1274" w:rsidP="009B1274">
      <w:pPr>
        <w:autoSpaceDE w:val="0"/>
        <w:autoSpaceDN w:val="0"/>
        <w:spacing w:after="0" w:line="240" w:lineRule="auto"/>
        <w:jc w:val="right"/>
        <w:rPr>
          <w:rFonts w:ascii="Arial" w:eastAsia="Verdana" w:hAnsi="Arial" w:cs="Arial"/>
          <w:b/>
          <w:sz w:val="24"/>
          <w:szCs w:val="24"/>
          <w:lang w:eastAsia="ro-RO"/>
        </w:rPr>
      </w:pPr>
    </w:p>
    <w:p w14:paraId="5E0E8579" w14:textId="77777777" w:rsidR="009B1274" w:rsidRPr="000318CE" w:rsidRDefault="009B1274" w:rsidP="009B1274">
      <w:pPr>
        <w:autoSpaceDE w:val="0"/>
        <w:autoSpaceDN w:val="0"/>
        <w:spacing w:after="0" w:line="240" w:lineRule="auto"/>
        <w:jc w:val="center"/>
        <w:rPr>
          <w:rFonts w:ascii="Arial" w:eastAsia="Verdana" w:hAnsi="Arial" w:cs="Arial"/>
          <w:b/>
          <w:sz w:val="24"/>
          <w:szCs w:val="24"/>
          <w:lang w:eastAsia="ro-RO"/>
        </w:rPr>
      </w:pPr>
      <w:r w:rsidRPr="000318CE">
        <w:rPr>
          <w:rFonts w:ascii="Arial" w:eastAsia="Verdana" w:hAnsi="Arial" w:cs="Arial"/>
          <w:b/>
          <w:sz w:val="24"/>
          <w:szCs w:val="24"/>
          <w:lang w:eastAsia="ro-RO"/>
        </w:rPr>
        <w:t>CONTRIBUȚIA BĂNEASCĂ</w:t>
      </w:r>
    </w:p>
    <w:p w14:paraId="6E235676" w14:textId="77777777" w:rsidR="009B1274" w:rsidRPr="000318CE" w:rsidRDefault="009B1274" w:rsidP="009B1274">
      <w:pPr>
        <w:autoSpaceDE w:val="0"/>
        <w:autoSpaceDN w:val="0"/>
        <w:spacing w:after="0" w:line="240" w:lineRule="auto"/>
        <w:jc w:val="center"/>
        <w:rPr>
          <w:rFonts w:ascii="Arial" w:eastAsia="Verdana" w:hAnsi="Arial" w:cs="Arial"/>
          <w:b/>
          <w:sz w:val="24"/>
          <w:szCs w:val="24"/>
          <w:lang w:eastAsia="ro-RO"/>
        </w:rPr>
      </w:pPr>
      <w:r w:rsidRPr="000318CE">
        <w:rPr>
          <w:rFonts w:ascii="Arial" w:eastAsia="Verdana" w:hAnsi="Arial" w:cs="Arial"/>
          <w:b/>
          <w:sz w:val="24"/>
          <w:szCs w:val="24"/>
          <w:lang w:eastAsia="ro-RO"/>
        </w:rPr>
        <w:t>percepută anual de Autoritatea Națională de Reglementare în Domeniul Energiei de la operatorii economici care desfășoară activități în sectorul energiei electrice, termice și gazelor naturale</w:t>
      </w:r>
    </w:p>
    <w:p w14:paraId="5CB8CF19" w14:textId="77777777" w:rsidR="009B1274" w:rsidRPr="000318CE" w:rsidRDefault="009B1274" w:rsidP="009B1274">
      <w:pPr>
        <w:autoSpaceDE w:val="0"/>
        <w:autoSpaceDN w:val="0"/>
        <w:spacing w:after="0" w:line="240" w:lineRule="auto"/>
        <w:jc w:val="center"/>
        <w:rPr>
          <w:rFonts w:ascii="Arial" w:eastAsia="Verdana" w:hAnsi="Arial" w:cs="Arial"/>
          <w:sz w:val="24"/>
          <w:szCs w:val="24"/>
          <w:lang w:eastAsia="ro-RO"/>
        </w:rPr>
      </w:pPr>
    </w:p>
    <w:p w14:paraId="38EDD104" w14:textId="77777777" w:rsidR="009B1274" w:rsidRPr="000318CE" w:rsidRDefault="009B1274" w:rsidP="009B1274">
      <w:pPr>
        <w:autoSpaceDE w:val="0"/>
        <w:autoSpaceDN w:val="0"/>
        <w:spacing w:after="0" w:line="240" w:lineRule="auto"/>
        <w:jc w:val="both"/>
        <w:rPr>
          <w:rFonts w:ascii="Arial" w:eastAsia="Verdana" w:hAnsi="Arial" w:cs="Arial"/>
          <w:b/>
          <w:sz w:val="24"/>
          <w:szCs w:val="24"/>
          <w:lang w:eastAsia="ro-RO"/>
        </w:rPr>
      </w:pPr>
      <w:r w:rsidRPr="000318CE">
        <w:rPr>
          <w:rFonts w:ascii="Arial" w:eastAsia="Verdana" w:hAnsi="Arial" w:cs="Arial"/>
          <w:b/>
          <w:sz w:val="24"/>
          <w:szCs w:val="24"/>
          <w:lang w:eastAsia="ro-RO"/>
        </w:rPr>
        <w:t xml:space="preserve">    I. Contribuția bănească percepută de la operatorii economici care desfășoară activități în sectorul energiei electrice și termice</w:t>
      </w:r>
    </w:p>
    <w:p w14:paraId="1678659D"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1. </w:t>
      </w:r>
      <w:r w:rsidRPr="000318CE">
        <w:rPr>
          <w:rFonts w:ascii="Arial" w:eastAsia="Verdana" w:hAnsi="Arial" w:cs="Arial"/>
          <w:sz w:val="24"/>
          <w:szCs w:val="24"/>
          <w:lang w:val="ro-RO" w:eastAsia="ro-RO"/>
        </w:rPr>
        <w:t>Pentru  operatorii economici din domeniul energiei electrice, titulari de licență</w:t>
      </w:r>
      <w:r w:rsidRPr="000318CE">
        <w:rPr>
          <w:rFonts w:ascii="Arial" w:eastAsia="Verdana" w:hAnsi="Arial" w:cs="Arial"/>
          <w:sz w:val="24"/>
          <w:szCs w:val="24"/>
          <w:lang w:eastAsia="ro-RO"/>
        </w:rPr>
        <w:t xml:space="preserve"> pentru prestarea serviciului de transport al energiei electrice, precum şi a serviciilor de echilibrare a</w:t>
      </w:r>
      <w:r w:rsidRPr="000318CE">
        <w:rPr>
          <w:rFonts w:ascii="Arial" w:eastAsia="Times New Roman" w:hAnsi="Arial" w:cs="Arial"/>
          <w:color w:val="000000"/>
          <w:sz w:val="20"/>
          <w:szCs w:val="20"/>
          <w:lang w:val="ro-RO" w:eastAsia="ro-RO"/>
        </w:rPr>
        <w:t xml:space="preserve"> </w:t>
      </w:r>
      <w:r w:rsidRPr="000318CE">
        <w:rPr>
          <w:rFonts w:ascii="Arial" w:eastAsia="Verdana" w:hAnsi="Arial" w:cs="Arial"/>
          <w:sz w:val="24"/>
          <w:szCs w:val="24"/>
          <w:lang w:eastAsia="ro-RO"/>
        </w:rPr>
        <w:t>sistemului</w:t>
      </w:r>
      <w:r w:rsidRPr="000318CE">
        <w:rPr>
          <w:rFonts w:ascii="Arial" w:eastAsia="Verdana" w:hAnsi="Arial" w:cs="Arial"/>
          <w:sz w:val="24"/>
          <w:szCs w:val="24"/>
          <w:lang w:val="ro-RO" w:eastAsia="ro-RO"/>
        </w:rPr>
        <w:t xml:space="preserve"> sau pentru prestarea serviciului de distribuție a energiei electrice, precum și pentru operatorii economici </w:t>
      </w:r>
      <w:r w:rsidRPr="000318CE">
        <w:rPr>
          <w:rFonts w:ascii="Arial" w:eastAsia="Times New Roman" w:hAnsi="Arial" w:cs="Arial"/>
          <w:sz w:val="24"/>
          <w:szCs w:val="24"/>
          <w:shd w:val="clear" w:color="auto" w:fill="FFFFFF"/>
          <w:lang w:val="ro-RO" w:eastAsia="en-GB"/>
        </w:rPr>
        <w:t xml:space="preserve">care prestează serviciul de distribuţie a energiei electrice în baza unei decizii de confirmare a sistemului de distribuţie închis emisă de </w:t>
      </w:r>
      <w:r w:rsidRPr="000318CE">
        <w:rPr>
          <w:rFonts w:ascii="Arial" w:eastAsia="Verdana" w:hAnsi="Arial" w:cs="Arial"/>
          <w:sz w:val="24"/>
          <w:szCs w:val="24"/>
          <w:lang w:val="ro-RO" w:eastAsia="ro-RO"/>
        </w:rPr>
        <w:t xml:space="preserve">Autoritatea Națională de Reglementare în Domeniul Energiei, contribuția bănească anuală </w:t>
      </w:r>
      <w:r w:rsidRPr="000318CE">
        <w:rPr>
          <w:rFonts w:ascii="Arial" w:eastAsia="Times New Roman" w:hAnsi="Arial" w:cs="Arial"/>
          <w:sz w:val="24"/>
          <w:szCs w:val="24"/>
          <w:shd w:val="clear" w:color="auto" w:fill="FFFFFF"/>
          <w:lang w:val="ro-RO" w:eastAsia="en-GB"/>
        </w:rPr>
        <w:t>se stabilește pe baza unei cote procentuale de 0,2% aplicată la cifra de afaceri realizată de către aceștia în anul 2022 din prestarea serviciilor menționate anterior</w:t>
      </w:r>
      <w:r w:rsidRPr="000318CE">
        <w:rPr>
          <w:rFonts w:ascii="Arial" w:eastAsia="Verdana" w:hAnsi="Arial" w:cs="Arial"/>
          <w:sz w:val="24"/>
          <w:szCs w:val="24"/>
          <w:lang w:val="ro-RO" w:eastAsia="ro-RO"/>
        </w:rPr>
        <w:t xml:space="preserve">, dar nu mai puțin decât o </w:t>
      </w:r>
      <w:r w:rsidRPr="000318CE">
        <w:rPr>
          <w:rFonts w:ascii="Arial" w:eastAsia="Verdana" w:hAnsi="Arial" w:cs="Arial"/>
          <w:sz w:val="24"/>
          <w:szCs w:val="24"/>
          <w:lang w:eastAsia="ro-RO"/>
        </w:rPr>
        <w:t>contribuție minimă în valoare de 3.125 lei.</w:t>
      </w:r>
    </w:p>
    <w:p w14:paraId="23DF05BD" w14:textId="77777777" w:rsidR="009B1274" w:rsidRPr="000318CE" w:rsidRDefault="009B1274" w:rsidP="009B1274">
      <w:pPr>
        <w:spacing w:after="0" w:line="240" w:lineRule="auto"/>
        <w:jc w:val="both"/>
        <w:rPr>
          <w:rFonts w:ascii="Arial" w:eastAsia="Times New Roman" w:hAnsi="Arial" w:cs="Arial"/>
          <w:sz w:val="20"/>
          <w:szCs w:val="20"/>
          <w:lang w:val="en-GB" w:eastAsia="en-GB"/>
        </w:rPr>
      </w:pPr>
      <w:r w:rsidRPr="000318CE">
        <w:rPr>
          <w:rFonts w:ascii="Arial" w:eastAsia="Verdana" w:hAnsi="Arial" w:cs="Arial"/>
          <w:sz w:val="24"/>
          <w:szCs w:val="24"/>
          <w:lang w:eastAsia="ro-RO"/>
        </w:rPr>
        <w:t xml:space="preserve">    2. Titularii licențelor acordate de Autoritatea Națională de Reglementare în Domeniul Energiei, în condițiile legii, pentru desfășurarea activităților de: exploatare comercială a capacităților de producere a energiei electrice și a instalațiilor de stocare a energiei adăugate capacității de producere; exploatare comercială a capacităților de producere a energiei electrice și termice din centrale electrice în cogenerare și a instalațiilor de stocare a energiei adăugate capacității de producere, activitatea operatorului pieţei de energie electrică, furnizarea energiei electrice; activitatea traderului de energie electrică, activitatea de agregare, exploatarea comercială a instalațiilor de stocare a energiei care nu sunt adăugate unei capacități de producere existente, precum și titularii confirmărilor privind dreptul de participare la pieţele de energie electrică din România acordate de Autoritatea Națională de Reglementare în Domeniul Energiei persoanelor juridice străine având sediul social într-un stat membru al Uniunii Europene, au obligația de a plăti anual Autorității Naționale de Reglementare în Domeniul Energiei o contribuție bănească după cum urmează:</w:t>
      </w:r>
    </w:p>
    <w:p w14:paraId="3DEBE500"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a) pentru titularii de licență și pentru titularii confirmărilor privind dreptul de participare la pieţele de energie electrică din România acordate de Autoritatea Națională de Reglementare în Domeniul Energiei </w:t>
      </w:r>
      <w:r w:rsidRPr="000318CE">
        <w:rPr>
          <w:rFonts w:ascii="Arial" w:eastAsia="Times New Roman" w:hAnsi="Arial" w:cs="Arial"/>
          <w:sz w:val="24"/>
          <w:szCs w:val="24"/>
          <w:shd w:val="clear" w:color="auto" w:fill="FFFFFF"/>
          <w:lang w:val="ro-RO" w:eastAsia="en-GB"/>
        </w:rPr>
        <w:t>care desfăşoară activităţi în sectorul energiei electrice</w:t>
      </w:r>
      <w:r w:rsidRPr="000318CE">
        <w:rPr>
          <w:rFonts w:ascii="Arial" w:eastAsia="Verdana" w:hAnsi="Arial" w:cs="Arial"/>
          <w:sz w:val="24"/>
          <w:szCs w:val="24"/>
          <w:lang w:eastAsia="ro-RO"/>
        </w:rPr>
        <w:t xml:space="preserve">, contribuția bănească anuală </w:t>
      </w:r>
      <w:r w:rsidRPr="000318CE">
        <w:rPr>
          <w:rFonts w:ascii="Arial" w:eastAsia="Times New Roman" w:hAnsi="Arial" w:cs="Arial"/>
          <w:sz w:val="24"/>
          <w:szCs w:val="24"/>
          <w:shd w:val="clear" w:color="auto" w:fill="FFFFFF"/>
          <w:lang w:val="en-GB" w:eastAsia="en-GB"/>
        </w:rPr>
        <w:t>se stabilește pe baza unei cote procentuale de</w:t>
      </w:r>
      <w:r w:rsidRPr="000318CE">
        <w:rPr>
          <w:rFonts w:ascii="Arial" w:eastAsia="Verdana" w:hAnsi="Arial" w:cs="Arial"/>
          <w:sz w:val="24"/>
          <w:szCs w:val="24"/>
          <w:lang w:eastAsia="ro-RO"/>
        </w:rPr>
        <w:t xml:space="preserve"> 0,1% </w:t>
      </w:r>
      <w:r w:rsidRPr="000318CE">
        <w:rPr>
          <w:rFonts w:ascii="Arial" w:eastAsia="Times New Roman" w:hAnsi="Arial" w:cs="Arial"/>
          <w:sz w:val="24"/>
          <w:szCs w:val="24"/>
          <w:shd w:val="clear" w:color="auto" w:fill="FFFFFF"/>
          <w:lang w:val="en-GB" w:eastAsia="en-GB"/>
        </w:rPr>
        <w:t xml:space="preserve">aplicată la </w:t>
      </w:r>
      <w:r w:rsidRPr="000318CE">
        <w:rPr>
          <w:rFonts w:ascii="Arial" w:eastAsia="Verdana" w:hAnsi="Arial" w:cs="Arial"/>
          <w:sz w:val="24"/>
          <w:szCs w:val="24"/>
          <w:lang w:eastAsia="ro-RO"/>
        </w:rPr>
        <w:t>cifra de afaceri realizată de aceștia în anul 2022 din activitățile comerciale ce fac obiectul licențelor pe care le dețin, dar nu mai puțin decât o contribuție minimă în valoare de 3.125 lei, cu excepția operatorilor economici prevăzuți la lit. b) și c);</w:t>
      </w:r>
    </w:p>
    <w:p w14:paraId="1DBCF377"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b) pentru operatorul economic deținător exclusiv al unei licențe pentru exploatarea comercială a capacităților de producere </w:t>
      </w:r>
      <w:proofErr w:type="gramStart"/>
      <w:r w:rsidRPr="000318CE">
        <w:rPr>
          <w:rFonts w:ascii="Arial" w:eastAsia="Verdana" w:hAnsi="Arial" w:cs="Arial"/>
          <w:sz w:val="24"/>
          <w:szCs w:val="24"/>
          <w:lang w:eastAsia="ro-RO"/>
        </w:rPr>
        <w:t>a</w:t>
      </w:r>
      <w:proofErr w:type="gramEnd"/>
      <w:r w:rsidRPr="000318CE">
        <w:rPr>
          <w:rFonts w:ascii="Arial" w:eastAsia="Verdana" w:hAnsi="Arial" w:cs="Arial"/>
          <w:sz w:val="24"/>
          <w:szCs w:val="24"/>
          <w:lang w:eastAsia="ro-RO"/>
        </w:rPr>
        <w:t xml:space="preserve"> energiei electrice cu puterea electrică instalată, la data de 31.12.2022, mai mare sau egală cu 1 MW și mai mică sau egală cu 5 MW și care nu deține capacități de producere a energiei electrice și termice în cogenerare, contribuția care se percepe în anul 2023 este egală cu 3.125 lei;</w:t>
      </w:r>
    </w:p>
    <w:p w14:paraId="74D4D420"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c) pentru operatorul economic deținător exclusiv al unei licențe pentru exploatarea comercială a capacităților de producere </w:t>
      </w:r>
      <w:proofErr w:type="gramStart"/>
      <w:r w:rsidRPr="000318CE">
        <w:rPr>
          <w:rFonts w:ascii="Arial" w:eastAsia="Verdana" w:hAnsi="Arial" w:cs="Arial"/>
          <w:sz w:val="24"/>
          <w:szCs w:val="24"/>
          <w:lang w:eastAsia="ro-RO"/>
        </w:rPr>
        <w:t>a</w:t>
      </w:r>
      <w:proofErr w:type="gramEnd"/>
      <w:r w:rsidRPr="000318CE">
        <w:rPr>
          <w:rFonts w:ascii="Arial" w:eastAsia="Verdana" w:hAnsi="Arial" w:cs="Arial"/>
          <w:sz w:val="24"/>
          <w:szCs w:val="24"/>
          <w:lang w:eastAsia="ro-RO"/>
        </w:rPr>
        <w:t xml:space="preserve"> energiei electrice cu puterea electrică instalată, </w:t>
      </w:r>
      <w:r w:rsidRPr="000318CE">
        <w:rPr>
          <w:rFonts w:ascii="Arial" w:eastAsia="Verdana" w:hAnsi="Arial" w:cs="Arial"/>
          <w:sz w:val="24"/>
          <w:szCs w:val="24"/>
          <w:lang w:eastAsia="ro-RO"/>
        </w:rPr>
        <w:lastRenderedPageBreak/>
        <w:t>la data de 31.12.2022, mai mare de 5 MW și mai mică sau egală cu 10 MW și care nu deține capacități de producere a energiei electrice și termice în cogenerare, contribuția care se percepe în anul 2023 este egală cu 7.500 lei.</w:t>
      </w:r>
    </w:p>
    <w:p w14:paraId="23DABCCC" w14:textId="77777777" w:rsidR="009B1274" w:rsidRPr="000318CE" w:rsidRDefault="009B1274" w:rsidP="009B1274">
      <w:pPr>
        <w:shd w:val="clear" w:color="auto" w:fill="FFFFFF"/>
        <w:autoSpaceDE w:val="0"/>
        <w:autoSpaceDN w:val="0"/>
        <w:spacing w:after="0" w:line="240" w:lineRule="auto"/>
        <w:ind w:firstLine="284"/>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3. Persoanele fizice și juridice cărora le este permisă desfășurarea activității de exploatare comercială a capacităților energetice de producere a energiei electrice fără deținerea unei licențe acordată de Autoritatea Națională de Reglementare în Domeniul Energiei nu au obligația de a plăti anual Autorității Naționale de Reglementare în Domeniul Energiei o contribuție bănească, </w:t>
      </w:r>
      <w:bookmarkStart w:id="0" w:name="_Hlk56581389"/>
      <w:r w:rsidRPr="000318CE">
        <w:rPr>
          <w:rFonts w:ascii="Arial" w:eastAsia="Verdana" w:hAnsi="Arial" w:cs="Arial"/>
          <w:sz w:val="24"/>
          <w:szCs w:val="24"/>
          <w:lang w:eastAsia="ro-RO"/>
        </w:rPr>
        <w:t>respectiv: deținătorii unor capacități de producere a energiei electrice care pot fi pornite fără tensiune din SEN, grupuri cu autopornire și care sunt utilizate de către aceștia în scopul alimentării de siguranță cu energie electrică a echipamentelor sau instalațiilor proprii și deținătorii unor capacități de producere a energiei electrice, inclusiv a energiei electrice și termice din centrale electrice în cogenerare, conectate la rețeaua electrică, cu o putere electrică totală mai mică de 1 MW.</w:t>
      </w:r>
      <w:bookmarkEnd w:id="0"/>
    </w:p>
    <w:p w14:paraId="1989AA9D"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4. Titularii licențelor acordate pentru desfășurarea activităților de </w:t>
      </w:r>
      <w:r w:rsidRPr="000318CE">
        <w:rPr>
          <w:rFonts w:ascii="Arial" w:eastAsia="Verdana" w:hAnsi="Arial" w:cs="Arial"/>
          <w:sz w:val="24"/>
          <w:szCs w:val="24"/>
          <w:lang w:val="ro-RO" w:eastAsia="ro-RO"/>
        </w:rPr>
        <w:t xml:space="preserve">exploatarea comercială a capacităţilor de producere a energiei termice, exploatarea comercială a capacităţilor de producere a energiei termice care au în componenţă instalaţii de producere, stocare şi respectiv utilizare a biogazului/biometanului și de prestare a </w:t>
      </w:r>
      <w:r w:rsidRPr="000318CE">
        <w:rPr>
          <w:rFonts w:ascii="Arial" w:eastAsia="Verdana" w:hAnsi="Arial" w:cs="Arial"/>
          <w:sz w:val="24"/>
          <w:szCs w:val="24"/>
          <w:lang w:eastAsia="ro-RO"/>
        </w:rPr>
        <w:t xml:space="preserve">serviciului </w:t>
      </w:r>
      <w:r w:rsidRPr="000318CE">
        <w:rPr>
          <w:rFonts w:ascii="Arial" w:eastAsia="Verdana" w:hAnsi="Arial" w:cs="Arial"/>
          <w:sz w:val="24"/>
          <w:szCs w:val="24"/>
          <w:lang w:val="ro-RO" w:eastAsia="ro-RO"/>
        </w:rPr>
        <w:t>de alimentare centralizată cu energie termică</w:t>
      </w:r>
      <w:r w:rsidRPr="000318CE">
        <w:rPr>
          <w:rFonts w:ascii="Arial" w:eastAsia="Verdana" w:hAnsi="Arial" w:cs="Arial"/>
          <w:sz w:val="24"/>
          <w:szCs w:val="24"/>
          <w:lang w:eastAsia="ro-RO"/>
        </w:rPr>
        <w:t xml:space="preserve"> au obligația de a plăti Autorității Naționale de Reglementare în Domeniul Energiei o contribuție bănească </w:t>
      </w:r>
      <w:r w:rsidRPr="000318CE">
        <w:rPr>
          <w:rFonts w:ascii="Arial" w:eastAsia="Times New Roman" w:hAnsi="Arial" w:cs="Arial"/>
          <w:sz w:val="24"/>
          <w:szCs w:val="24"/>
          <w:shd w:val="clear" w:color="auto" w:fill="FFFFFF"/>
          <w:lang w:val="en-GB" w:eastAsia="en-GB"/>
        </w:rPr>
        <w:t xml:space="preserve">anuală care se stabilește pe baza unei cote procentuale de </w:t>
      </w:r>
      <w:r w:rsidRPr="000318CE">
        <w:rPr>
          <w:rFonts w:ascii="Arial" w:eastAsia="Verdana" w:hAnsi="Arial" w:cs="Arial"/>
          <w:sz w:val="24"/>
          <w:szCs w:val="24"/>
          <w:lang w:eastAsia="ro-RO"/>
        </w:rPr>
        <w:t xml:space="preserve">0,1% din cifra de afaceri realizată de aceștia în anul 2022 din activitățile ce fac obiectul licențelor pe care le dețin, dar nu mai puțin decât o contribuție minimă  în valoare de 3.125 lei; prevederile prezentului punct </w:t>
      </w:r>
      <w:r w:rsidRPr="000318CE">
        <w:rPr>
          <w:rFonts w:ascii="Arial" w:eastAsia="Verdana" w:hAnsi="Arial" w:cs="Arial"/>
          <w:sz w:val="24"/>
          <w:szCs w:val="24"/>
          <w:lang w:val="ro-RO" w:eastAsia="ro-RO"/>
        </w:rPr>
        <w:t xml:space="preserve">şi </w:t>
      </w:r>
      <w:r w:rsidRPr="000318CE">
        <w:rPr>
          <w:rFonts w:ascii="Arial" w:eastAsia="Verdana" w:hAnsi="Arial" w:cs="Arial"/>
          <w:sz w:val="24"/>
          <w:szCs w:val="24"/>
          <w:lang w:eastAsia="ro-RO"/>
        </w:rPr>
        <w:t>pct. 5-13 sunt aplicabile și titularilor de licențe acordate  de Autoritatea Națională de Reglementare în Domeniul Energiei pentru desfășurarea de activități în sectorul energiei termice.</w:t>
      </w:r>
    </w:p>
    <w:p w14:paraId="51630DF8"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5. În cazul oricărui operator economic care intră sub incidența pct. 1, pct. 2 lit. a) </w:t>
      </w:r>
      <w:r w:rsidRPr="000318CE">
        <w:rPr>
          <w:rFonts w:ascii="Arial" w:eastAsia="Times New Roman" w:hAnsi="Arial" w:cs="Arial"/>
          <w:sz w:val="24"/>
          <w:szCs w:val="24"/>
          <w:shd w:val="clear" w:color="auto" w:fill="FFFFFF"/>
          <w:lang w:val="en-GB" w:eastAsia="en-GB"/>
        </w:rPr>
        <w:t>și pct. 4</w:t>
      </w:r>
      <w:r w:rsidRPr="000318CE">
        <w:rPr>
          <w:rFonts w:ascii="Arial" w:eastAsia="Verdana" w:hAnsi="Arial" w:cs="Arial"/>
          <w:sz w:val="24"/>
          <w:szCs w:val="24"/>
          <w:lang w:eastAsia="ro-RO"/>
        </w:rPr>
        <w:t xml:space="preserve">, titular al unei unice licențe, </w:t>
      </w:r>
      <w:r w:rsidRPr="000318CE">
        <w:rPr>
          <w:rFonts w:ascii="Arial" w:eastAsia="Times New Roman" w:hAnsi="Arial" w:cs="Arial"/>
          <w:sz w:val="24"/>
          <w:szCs w:val="24"/>
          <w:shd w:val="clear" w:color="auto" w:fill="FFFFFF"/>
          <w:lang w:val="ro-RO" w:eastAsia="en-GB"/>
        </w:rPr>
        <w:t>decizii de confirmare a sistemului de distribuţie închis</w:t>
      </w:r>
      <w:r w:rsidRPr="000318CE">
        <w:rPr>
          <w:rFonts w:ascii="Arial" w:eastAsia="Verdana" w:hAnsi="Arial" w:cs="Arial"/>
          <w:sz w:val="24"/>
          <w:szCs w:val="24"/>
          <w:lang w:eastAsia="ro-RO"/>
        </w:rPr>
        <w:t xml:space="preserve"> acordate de către Autoritatea Națională de Reglementare în Domeniul Energiei sau care deține o </w:t>
      </w:r>
      <w:r w:rsidRPr="000318CE">
        <w:rPr>
          <w:rFonts w:ascii="Arial" w:eastAsia="Times New Roman" w:hAnsi="Arial" w:cs="Arial"/>
          <w:sz w:val="24"/>
          <w:szCs w:val="24"/>
          <w:lang w:val="ro-RO" w:eastAsia="ro-RO"/>
        </w:rPr>
        <w:t>decizie de confirmare a dreptului de participare a solicitantului la pieţele de energie electrică din România</w:t>
      </w:r>
      <w:r w:rsidRPr="000318CE">
        <w:rPr>
          <w:rFonts w:ascii="Arial" w:eastAsia="Verdana" w:hAnsi="Arial" w:cs="Arial"/>
          <w:sz w:val="24"/>
          <w:szCs w:val="24"/>
          <w:lang w:eastAsia="ro-RO"/>
        </w:rPr>
        <w:t>:</w:t>
      </w:r>
    </w:p>
    <w:p w14:paraId="601BC121"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a) dacă anul 2023 este anul de expirare a valabilității sau de retragere a licenței/</w:t>
      </w:r>
      <w:r w:rsidRPr="000318CE">
        <w:rPr>
          <w:rFonts w:ascii="Arial" w:eastAsia="Times New Roman" w:hAnsi="Arial" w:cs="Arial"/>
          <w:sz w:val="24"/>
          <w:szCs w:val="24"/>
          <w:shd w:val="clear" w:color="auto" w:fill="FFFFFF"/>
          <w:lang w:val="ro-RO" w:eastAsia="en-GB"/>
        </w:rPr>
        <w:t>deciziei de confirmare a sistemului de distribuţie închis,</w:t>
      </w:r>
      <w:r w:rsidRPr="000318CE">
        <w:rPr>
          <w:rFonts w:ascii="Arial" w:eastAsia="Verdana" w:hAnsi="Arial" w:cs="Arial"/>
          <w:sz w:val="24"/>
          <w:szCs w:val="24"/>
          <w:lang w:eastAsia="ro-RO"/>
        </w:rPr>
        <w:t xml:space="preserve"> respectiv a dreptului confirmat de Autoritatea Națională de Reglementare în Domeniul Energiei de participare la pieţele de energie electrică din România, Autoritatea Națională de Reglementare în Domeniul Energiei facturează operatorului economic contribuția a cărei valoare se determină astfel: valoarea calculată în conformitate cu prevederile pct. 1, 2</w:t>
      </w:r>
      <w:r w:rsidRPr="000318CE">
        <w:rPr>
          <w:rFonts w:ascii="Arial" w:eastAsia="Times New Roman" w:hAnsi="Arial" w:cs="Arial"/>
          <w:sz w:val="24"/>
          <w:szCs w:val="24"/>
          <w:shd w:val="clear" w:color="auto" w:fill="FFFFFF"/>
          <w:lang w:val="en-GB" w:eastAsia="en-GB"/>
        </w:rPr>
        <w:t xml:space="preserve"> și 4</w:t>
      </w:r>
      <w:r w:rsidRPr="000318CE">
        <w:rPr>
          <w:rFonts w:ascii="Arial" w:eastAsia="Verdana" w:hAnsi="Arial" w:cs="Arial"/>
          <w:sz w:val="24"/>
          <w:szCs w:val="24"/>
          <w:lang w:eastAsia="ro-RO"/>
        </w:rPr>
        <w:t xml:space="preserve"> se ponderează cu raportul dintre durata de valabilitate a licenței/deciziei de confirmare în anul 2023, exprimată în zile calendaristice, și numărul de zile ale anului calendaristic (365), dar nu poate fi mai mică de 3.125 lei; </w:t>
      </w:r>
    </w:p>
    <w:p w14:paraId="23CCE741"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b) prevederile lit. a) sunt aplicabile în situațiile în care valabilitatea licenței/</w:t>
      </w:r>
      <w:r w:rsidRPr="000318CE">
        <w:rPr>
          <w:rFonts w:ascii="Arial" w:eastAsia="Times New Roman" w:hAnsi="Arial" w:cs="Arial"/>
          <w:sz w:val="24"/>
          <w:szCs w:val="24"/>
          <w:shd w:val="clear" w:color="auto" w:fill="FFFFFF"/>
          <w:lang w:val="ro-RO" w:eastAsia="en-GB"/>
        </w:rPr>
        <w:t xml:space="preserve"> deciziei de confirmare a sistemului de distribuţie închis,</w:t>
      </w:r>
      <w:r w:rsidRPr="000318CE">
        <w:rPr>
          <w:rFonts w:ascii="Arial" w:eastAsia="Verdana" w:hAnsi="Arial" w:cs="Arial"/>
          <w:sz w:val="24"/>
          <w:szCs w:val="24"/>
          <w:lang w:eastAsia="ro-RO"/>
        </w:rPr>
        <w:t xml:space="preserve"> respectiv a dreptului confirmat de Autoritatea Națională de Reglementare în Domeniul Energiei de participare la pieţele de energie electrică din România expiră în anul 2023, dacă nu se solicită sau nu se aprobă modificarea acestora, în scopul de a se prelungi valabilitatea cel puțin până la un termen din anul următor, </w:t>
      </w:r>
      <w:r w:rsidRPr="000318CE">
        <w:rPr>
          <w:rFonts w:ascii="Arial" w:eastAsia="Times New Roman" w:hAnsi="Arial" w:cs="Arial"/>
          <w:sz w:val="24"/>
          <w:szCs w:val="24"/>
          <w:shd w:val="clear" w:color="auto" w:fill="FFFFFF"/>
          <w:lang w:val="en-GB" w:eastAsia="en-GB"/>
        </w:rPr>
        <w:t xml:space="preserve">precum și dacă nu se acordă o nouă licență pentru același tip de </w:t>
      </w:r>
      <w:r w:rsidRPr="000318CE">
        <w:rPr>
          <w:rFonts w:ascii="Arial" w:eastAsia="Times New Roman" w:hAnsi="Arial" w:cs="Arial"/>
          <w:sz w:val="24"/>
          <w:szCs w:val="24"/>
          <w:shd w:val="clear" w:color="auto" w:fill="FFFFFF"/>
          <w:lang w:val="en-GB" w:eastAsia="en-GB"/>
        </w:rPr>
        <w:lastRenderedPageBreak/>
        <w:t xml:space="preserve">activitate/ </w:t>
      </w:r>
      <w:r w:rsidRPr="000318CE">
        <w:rPr>
          <w:rFonts w:ascii="Arial" w:eastAsia="Times New Roman" w:hAnsi="Arial" w:cs="Arial"/>
          <w:sz w:val="24"/>
          <w:szCs w:val="24"/>
          <w:shd w:val="clear" w:color="auto" w:fill="FFFFFF"/>
          <w:lang w:val="ro-RO" w:eastAsia="en-GB"/>
        </w:rPr>
        <w:t>decizie de confirmare a sistemului de distribuţie închis</w:t>
      </w:r>
      <w:r w:rsidRPr="000318CE">
        <w:rPr>
          <w:rFonts w:ascii="Arial" w:eastAsia="Times New Roman" w:hAnsi="Arial" w:cs="Arial"/>
          <w:sz w:val="24"/>
          <w:szCs w:val="24"/>
          <w:shd w:val="clear" w:color="auto" w:fill="FFFFFF"/>
          <w:lang w:val="en-GB" w:eastAsia="en-GB"/>
        </w:rPr>
        <w:t xml:space="preserve"> sau </w:t>
      </w:r>
      <w:r w:rsidRPr="000318CE">
        <w:rPr>
          <w:rFonts w:ascii="Arial" w:eastAsia="Verdana" w:hAnsi="Arial" w:cs="Arial"/>
          <w:sz w:val="24"/>
          <w:szCs w:val="24"/>
          <w:lang w:eastAsia="ro-RO"/>
        </w:rPr>
        <w:t>decizie de confirmare a aceluiași drept</w:t>
      </w:r>
      <w:r w:rsidRPr="000318CE">
        <w:rPr>
          <w:rFonts w:ascii="Arial" w:eastAsia="Times New Roman" w:hAnsi="Arial" w:cs="Arial"/>
          <w:sz w:val="24"/>
          <w:szCs w:val="24"/>
          <w:shd w:val="clear" w:color="auto" w:fill="FFFFFF"/>
          <w:lang w:val="en-GB" w:eastAsia="en-GB"/>
        </w:rPr>
        <w:t>.</w:t>
      </w:r>
    </w:p>
    <w:p w14:paraId="06D08168"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6. Instituțiile publice din domeniile de învățământ și sănătate sunt scutite de plata contribuției bănești către Autoritatea Națională de Reglementare în Domeniul Energiei.</w:t>
      </w:r>
    </w:p>
    <w:p w14:paraId="08012FA0" w14:textId="77777777" w:rsidR="009B1274" w:rsidRPr="000318CE" w:rsidRDefault="009B1274" w:rsidP="009B1274">
      <w:pPr>
        <w:autoSpaceDE w:val="0"/>
        <w:autoSpaceDN w:val="0"/>
        <w:spacing w:after="0" w:line="240" w:lineRule="auto"/>
        <w:jc w:val="both"/>
        <w:rPr>
          <w:rFonts w:ascii="Arial" w:eastAsia="Verdana" w:hAnsi="Arial" w:cs="Arial"/>
          <w:color w:val="FF0000"/>
          <w:sz w:val="24"/>
          <w:szCs w:val="24"/>
          <w:lang w:val="ro-RO" w:eastAsia="ro-RO"/>
        </w:rPr>
      </w:pPr>
      <w:r w:rsidRPr="000318CE">
        <w:rPr>
          <w:rFonts w:ascii="Arial" w:eastAsia="Verdana" w:hAnsi="Arial" w:cs="Arial"/>
          <w:sz w:val="24"/>
          <w:szCs w:val="24"/>
          <w:lang w:eastAsia="ro-RO"/>
        </w:rPr>
        <w:t xml:space="preserve">    7. Titularii de licențe, de </w:t>
      </w:r>
      <w:r w:rsidRPr="000318CE">
        <w:rPr>
          <w:rFonts w:ascii="Arial" w:eastAsia="Times New Roman" w:hAnsi="Arial" w:cs="Arial"/>
          <w:sz w:val="24"/>
          <w:szCs w:val="24"/>
          <w:shd w:val="clear" w:color="auto" w:fill="FFFFFF"/>
          <w:lang w:val="ro-RO" w:eastAsia="en-GB"/>
        </w:rPr>
        <w:t>decizii de confirmare a sistemului de distribuţie închis</w:t>
      </w:r>
      <w:r w:rsidRPr="000318CE">
        <w:rPr>
          <w:rFonts w:ascii="Arial" w:eastAsia="Verdana" w:hAnsi="Arial" w:cs="Arial"/>
          <w:sz w:val="24"/>
          <w:szCs w:val="24"/>
          <w:lang w:eastAsia="ro-RO"/>
        </w:rPr>
        <w:t xml:space="preserve"> inclusiv persoanele juridice având sediul social în unul din statele membre ale Uniunii Europene cu excepția persoanelor juridice prevăzute la pct. 2 lit. b) și c) </w:t>
      </w:r>
      <w:r w:rsidRPr="000318CE">
        <w:rPr>
          <w:rFonts w:ascii="Arial" w:eastAsia="Verdana" w:hAnsi="Arial" w:cs="Arial"/>
          <w:sz w:val="24"/>
          <w:szCs w:val="24"/>
          <w:lang w:val="ro-RO" w:eastAsia="ro-RO"/>
        </w:rPr>
        <w:t>și pct.6</w:t>
      </w:r>
      <w:r w:rsidRPr="000318CE">
        <w:rPr>
          <w:rFonts w:ascii="Arial" w:eastAsia="Verdana" w:hAnsi="Arial" w:cs="Arial"/>
          <w:sz w:val="24"/>
          <w:szCs w:val="24"/>
          <w:lang w:eastAsia="ro-RO"/>
        </w:rPr>
        <w:t xml:space="preserve">, vor transmite Autorității Naționale de Reglementare în Domeniul Energiei, până la sfârșitul lunii februarie 2023, o declarație privind cifra de afaceri estimată pentru anul 2022 din desfășurarea pe teritoriul României a activităților din sectorul energiei electrice și termice, licențiate de către Autoritatea Națională de Reglementare în Domeniul Energiei, pentru care dețin decizii de confirmare a sistemului de distribuţie închis </w:t>
      </w:r>
      <w:r w:rsidRPr="000318CE">
        <w:rPr>
          <w:rFonts w:ascii="Arial" w:eastAsia="Verdana" w:hAnsi="Arial" w:cs="Arial"/>
          <w:sz w:val="24"/>
          <w:szCs w:val="24"/>
          <w:lang w:val="ro-RO" w:eastAsia="ro-RO"/>
        </w:rPr>
        <w:t xml:space="preserve">sau </w:t>
      </w:r>
      <w:r w:rsidRPr="000318CE">
        <w:rPr>
          <w:rFonts w:ascii="Arial" w:eastAsia="Verdana" w:hAnsi="Arial" w:cs="Arial"/>
          <w:sz w:val="24"/>
          <w:szCs w:val="24"/>
          <w:lang w:eastAsia="ro-RO"/>
        </w:rPr>
        <w:t xml:space="preserve">pentru care Autoritatea Națională de Reglementare în Domeniul Energiei a confirmat dreptul de participare la pieţele de energie electrică din România, semnată de reprezentantul legal al solicitantului sau de o persoană împuternicită de acesta. Pentru operatorii economici care nu transmit valoarea cifrei de afaceri specificate până la termenul prevăzut mai sus, contribuția bănească se facturează prin aplicarea prevederilor pct. 1–5 la ultima valoare a cifrei de afaceri realizate din activitățile licentiate, pentru care dețin decizii de confirmare a sistemului de distribuţie închis </w:t>
      </w:r>
      <w:r w:rsidRPr="000318CE">
        <w:rPr>
          <w:rFonts w:ascii="Arial" w:eastAsia="Verdana" w:hAnsi="Arial" w:cs="Arial"/>
          <w:sz w:val="24"/>
          <w:szCs w:val="24"/>
          <w:lang w:val="ro-RO" w:eastAsia="ro-RO"/>
        </w:rPr>
        <w:t xml:space="preserve">sau </w:t>
      </w:r>
      <w:r w:rsidRPr="000318CE">
        <w:rPr>
          <w:rFonts w:ascii="Arial" w:eastAsia="Verdana" w:hAnsi="Arial" w:cs="Arial"/>
          <w:sz w:val="24"/>
          <w:szCs w:val="24"/>
          <w:lang w:eastAsia="ro-RO"/>
        </w:rPr>
        <w:t>pentru care Autoritatea Națională de Reglementare în Domeniul Energiei a confirmat dreptul de participare la pieţele de energie electrică din România, declarată de respectivul operator economic la Autoritatea Națională de Reglementare în Domeniul Energiei, dar nu poate fi mai mică de 3.125 lei.</w:t>
      </w:r>
    </w:p>
    <w:p w14:paraId="308CD37C"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8. Titularul de licență/de </w:t>
      </w:r>
      <w:r w:rsidRPr="000318CE">
        <w:rPr>
          <w:rFonts w:ascii="Arial" w:eastAsia="Times New Roman" w:hAnsi="Arial" w:cs="Arial"/>
          <w:sz w:val="24"/>
          <w:szCs w:val="24"/>
          <w:shd w:val="clear" w:color="auto" w:fill="FFFFFF"/>
          <w:lang w:val="ro-RO" w:eastAsia="en-GB"/>
        </w:rPr>
        <w:t>decizie de confirmare a sistemului de distribuţie</w:t>
      </w:r>
      <w:r w:rsidRPr="000318CE">
        <w:rPr>
          <w:rFonts w:ascii="Arial" w:eastAsia="Verdana" w:hAnsi="Arial" w:cs="Arial"/>
          <w:sz w:val="24"/>
          <w:szCs w:val="24"/>
          <w:lang w:eastAsia="ro-RO"/>
        </w:rPr>
        <w:t xml:space="preserve"> sau care deține o </w:t>
      </w:r>
      <w:r w:rsidRPr="000318CE">
        <w:rPr>
          <w:rFonts w:ascii="Arial" w:eastAsia="Times New Roman" w:hAnsi="Arial" w:cs="Arial"/>
          <w:sz w:val="24"/>
          <w:szCs w:val="24"/>
          <w:lang w:val="ro-RO" w:eastAsia="ro-RO"/>
        </w:rPr>
        <w:t>decizie de confirmare a dreptului de participare a solicitantului la pieţele de energie electrică din România,</w:t>
      </w:r>
      <w:r w:rsidRPr="000318CE">
        <w:rPr>
          <w:rFonts w:ascii="Arial" w:eastAsia="Times New Roman" w:hAnsi="Arial" w:cs="Arial"/>
          <w:sz w:val="24"/>
          <w:szCs w:val="24"/>
          <w:shd w:val="clear" w:color="auto" w:fill="FFFFFF"/>
          <w:lang w:val="ro-RO" w:eastAsia="en-GB"/>
        </w:rPr>
        <w:t xml:space="preserve"> </w:t>
      </w:r>
      <w:r w:rsidRPr="000318CE">
        <w:rPr>
          <w:rFonts w:ascii="Arial" w:eastAsia="Verdana" w:hAnsi="Arial" w:cs="Arial"/>
          <w:sz w:val="24"/>
          <w:szCs w:val="24"/>
          <w:lang w:eastAsia="ro-RO"/>
        </w:rPr>
        <w:t>care în cursul anului 2023 preia integral/parțial activitatea desfășurată pe baza unei licențe,</w:t>
      </w:r>
      <w:r w:rsidRPr="000318CE">
        <w:rPr>
          <w:rFonts w:ascii="Arial" w:eastAsia="Times New Roman" w:hAnsi="Arial" w:cs="Arial"/>
          <w:sz w:val="24"/>
          <w:szCs w:val="24"/>
          <w:shd w:val="clear" w:color="auto" w:fill="FFFFFF"/>
          <w:lang w:val="ro-RO" w:eastAsia="en-GB"/>
        </w:rPr>
        <w:t xml:space="preserve"> decizii de confirmare a sistemului de distribuţie</w:t>
      </w:r>
      <w:r w:rsidRPr="000318CE">
        <w:rPr>
          <w:rFonts w:ascii="Arial" w:eastAsia="Verdana" w:hAnsi="Arial" w:cs="Arial"/>
          <w:sz w:val="24"/>
          <w:szCs w:val="24"/>
          <w:lang w:eastAsia="ro-RO"/>
        </w:rPr>
        <w:t xml:space="preserve"> sau </w:t>
      </w:r>
      <w:r w:rsidRPr="000318CE">
        <w:rPr>
          <w:rFonts w:ascii="Arial" w:eastAsia="Times New Roman" w:hAnsi="Arial" w:cs="Arial"/>
          <w:sz w:val="24"/>
          <w:szCs w:val="24"/>
          <w:lang w:val="ro-RO" w:eastAsia="ro-RO"/>
        </w:rPr>
        <w:t>decizii de confirmare a dreptului de participare a solicitantului la pieţele de energie electrică din România</w:t>
      </w:r>
      <w:r w:rsidRPr="000318CE">
        <w:rPr>
          <w:rFonts w:ascii="Arial" w:eastAsia="Verdana" w:hAnsi="Arial" w:cs="Arial"/>
          <w:sz w:val="24"/>
          <w:szCs w:val="24"/>
          <w:lang w:eastAsia="ro-RO"/>
        </w:rPr>
        <w:t xml:space="preserve"> de același tip de către o altă persoană fizică sau juridică, va transmite declarația privind valoarea cifrei de afaceri estimate/realizate în anul 2022 de către deținătorul anterior al licenței și va asigura achitarea completă a contribuției pentru anul 2023, care îi revine titularului de licență care își încetează activitatea.</w:t>
      </w:r>
    </w:p>
    <w:p w14:paraId="259A0507"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9. Pentru titularii de licențe, decizii de confirmare a sistemului de distribuţie închis acordate de către Autoritatea Națională de Reglementare în Domeniul Energiei sau care dețin o </w:t>
      </w:r>
      <w:r w:rsidRPr="000318CE">
        <w:rPr>
          <w:rFonts w:ascii="Arial" w:eastAsia="Times New Roman" w:hAnsi="Arial" w:cs="Arial"/>
          <w:sz w:val="24"/>
          <w:szCs w:val="24"/>
          <w:lang w:val="ro-RO" w:eastAsia="ro-RO"/>
        </w:rPr>
        <w:t>decizie de confirmare a dreptului de participare a solicitantului la pieţele de energie electrică din România</w:t>
      </w:r>
      <w:r w:rsidRPr="000318CE">
        <w:rPr>
          <w:rFonts w:ascii="Arial" w:eastAsia="Verdana" w:hAnsi="Arial" w:cs="Arial"/>
          <w:sz w:val="24"/>
          <w:szCs w:val="24"/>
          <w:lang w:eastAsia="ro-RO"/>
        </w:rPr>
        <w:t xml:space="preserve"> a căror contribuție bănească are o valoare superioară nivelului de 3.125 lei, aceasta se achită în rate trimestriale egale; termenul de achitare a fiecăreia dintre aceste rate este sfârșitul primei luni a trimestrului respectiv, cu excepția primei rate care se achită potrivit termenului scadent înscris în factura emisă de Autoritatea Națională de Reglementare în Domeniul Energiei.</w:t>
      </w:r>
    </w:p>
    <w:p w14:paraId="20BFB43D"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10. Regularizarea contribuției bănești constă în determinarea diferenței dintre valoarea contribuției facturate inițial, conform pct. 7 și valoarea contribuției determinate pe baza cifrei de afaceri realizate în anul 2022 din activitățile comerciale desfășurate de către producători (pentru producția de energie electrică sau pentru producția de energie electrică și termică livrată din unitățile descrise în licențe), operatori de transport și de sistem, operatori de distribuție, agregatori, operatori ai instalațiilor de stocare a energiei, furnizori sau traderi de energie electrică pentru desfășurarea de activități comerciale în </w:t>
      </w:r>
      <w:r w:rsidRPr="000318CE">
        <w:rPr>
          <w:rFonts w:ascii="Arial" w:eastAsia="Verdana" w:hAnsi="Arial" w:cs="Arial"/>
          <w:sz w:val="24"/>
          <w:szCs w:val="24"/>
          <w:lang w:eastAsia="ro-RO"/>
        </w:rPr>
        <w:lastRenderedPageBreak/>
        <w:t>sectorul energiei electrice și al energiei termice, licențiate de către Autoritatea Națională de Reglementare în Domeniul Energiei, pentru care dețin decizie de confirmare a sistemului de distribuţie închis sau pentru care Autoritatea Națională de Reglementare în Domeniul Energiei a confirmat dreptul de participare la pieţele de energie electrică din România. Regularizarea contribuției bănești percepute pe anul 2023 se va realiza până la data de 31 decembrie 2023. În vederea regularizarii contribuției bănești, titularii de licență/decizie de confirmare vor transmite la Autoritatea Națională de Reglementare în Domeniul Energiei, în termen de 5 zile de la data limită prevăzută de lege pentru</w:t>
      </w:r>
      <w:r w:rsidRPr="000318CE">
        <w:rPr>
          <w:rFonts w:ascii="Arial" w:eastAsia="Verdana" w:hAnsi="Arial" w:cs="Arial"/>
          <w:sz w:val="24"/>
          <w:szCs w:val="24"/>
          <w:lang w:val="ro-RO" w:eastAsia="ro-RO"/>
        </w:rPr>
        <w:t xml:space="preserve"> depunerea situațiilor financiare anuale la autoritatea de administrare fiscală din România:</w:t>
      </w:r>
    </w:p>
    <w:p w14:paraId="757241B4" w14:textId="77777777" w:rsidR="009B1274" w:rsidRPr="000318CE" w:rsidRDefault="009B1274" w:rsidP="009B1274">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a) declarația privind cifra de afaceri realizată în anul 2022 din activitățile licențiate, </w:t>
      </w:r>
      <w:r w:rsidRPr="000318CE">
        <w:rPr>
          <w:rFonts w:ascii="Arial" w:eastAsia="Verdana" w:hAnsi="Arial" w:cs="Arial"/>
          <w:sz w:val="24"/>
          <w:szCs w:val="24"/>
          <w:lang w:eastAsia="ro-RO"/>
        </w:rPr>
        <w:t>pentru care dețin decizie de confirmare a sistemului de distribuţie închis</w:t>
      </w:r>
      <w:r w:rsidRPr="000318CE">
        <w:rPr>
          <w:rFonts w:ascii="Arial" w:eastAsia="Verdana" w:hAnsi="Arial" w:cs="Arial"/>
          <w:sz w:val="24"/>
          <w:szCs w:val="24"/>
          <w:lang w:val="ro-RO" w:eastAsia="ro-RO"/>
        </w:rPr>
        <w:t xml:space="preserve"> sau </w:t>
      </w:r>
      <w:r w:rsidRPr="000318CE">
        <w:rPr>
          <w:rFonts w:ascii="Arial" w:eastAsia="Verdana" w:hAnsi="Arial" w:cs="Arial"/>
          <w:sz w:val="24"/>
          <w:szCs w:val="24"/>
          <w:lang w:eastAsia="ro-RO"/>
        </w:rPr>
        <w:t>pentru care Autoritatea Națională de Reglementare în Domeniul Energiei a confirmat dreptul de participare la pieţele de energie electrică din România</w:t>
      </w:r>
      <w:r w:rsidRPr="000318CE">
        <w:rPr>
          <w:rFonts w:ascii="Arial" w:eastAsia="Verdana" w:hAnsi="Arial" w:cs="Arial"/>
          <w:sz w:val="24"/>
          <w:szCs w:val="24"/>
          <w:lang w:val="ro-RO" w:eastAsia="ro-RO"/>
        </w:rPr>
        <w:t>;</w:t>
      </w:r>
    </w:p>
    <w:p w14:paraId="3B4F8369" w14:textId="77777777" w:rsidR="009B1274" w:rsidRPr="000318CE" w:rsidRDefault="009B1274" w:rsidP="009B1274">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b) situațiile financiare anuale aferente anului 2022, înregistrate la autoritatea de administrare fiscală din România, inclusiv balanța de verificare analitică </w:t>
      </w:r>
      <w:r w:rsidRPr="000318CE">
        <w:rPr>
          <w:rFonts w:ascii="Arial" w:eastAsia="Times New Roman" w:hAnsi="Arial" w:cs="Arial"/>
          <w:noProof/>
          <w:sz w:val="24"/>
          <w:szCs w:val="24"/>
          <w:lang w:val="en-GB" w:eastAsia="en-GB"/>
        </w:rPr>
        <w:t>anuală care a stat la baza întocmirii acestor situații financiare</w:t>
      </w:r>
      <w:r w:rsidRPr="000318CE">
        <w:rPr>
          <w:rFonts w:ascii="Arial" w:eastAsia="Verdana" w:hAnsi="Arial" w:cs="Arial"/>
          <w:sz w:val="24"/>
          <w:szCs w:val="24"/>
          <w:lang w:val="ro-RO" w:eastAsia="ro-RO"/>
        </w:rPr>
        <w:t>.</w:t>
      </w:r>
    </w:p>
    <w:p w14:paraId="74713812"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Sunt excepțați de la transmiterea situațiilor financiare anuale la Autoritatea Națională de Reglementare în Domeniul Energiei titularii de licențe de la pct. 2 lit. b) și c) și pct.6. </w:t>
      </w:r>
    </w:p>
    <w:p w14:paraId="3680FE14"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11. În cazul titularului de licențe/ </w:t>
      </w:r>
      <w:r w:rsidRPr="000318CE">
        <w:rPr>
          <w:rFonts w:ascii="Arial" w:eastAsia="Times New Roman" w:hAnsi="Arial" w:cs="Arial"/>
          <w:sz w:val="24"/>
          <w:szCs w:val="24"/>
          <w:shd w:val="clear" w:color="auto" w:fill="FFFFFF"/>
          <w:lang w:val="ro-RO" w:eastAsia="en-GB"/>
        </w:rPr>
        <w:t>deciziei de confirmare a sistemului de distribuţie</w:t>
      </w:r>
      <w:r w:rsidRPr="000318CE">
        <w:rPr>
          <w:rFonts w:ascii="Arial" w:eastAsia="Verdana" w:hAnsi="Arial" w:cs="Arial"/>
          <w:sz w:val="24"/>
          <w:szCs w:val="24"/>
          <w:lang w:eastAsia="ro-RO"/>
        </w:rPr>
        <w:t xml:space="preserve"> sau care deține o </w:t>
      </w:r>
      <w:r w:rsidRPr="000318CE">
        <w:rPr>
          <w:rFonts w:ascii="Arial" w:eastAsia="Times New Roman" w:hAnsi="Arial" w:cs="Arial"/>
          <w:sz w:val="24"/>
          <w:szCs w:val="24"/>
          <w:lang w:val="ro-RO" w:eastAsia="ro-RO"/>
        </w:rPr>
        <w:t>decizie de confirmare a dreptului de participare a solicitantului la pieţele de energie electrică din România,</w:t>
      </w:r>
      <w:r w:rsidRPr="000318CE">
        <w:rPr>
          <w:rFonts w:ascii="Arial" w:eastAsia="Verdana" w:hAnsi="Arial" w:cs="Arial"/>
          <w:sz w:val="24"/>
          <w:szCs w:val="24"/>
          <w:lang w:eastAsia="ro-RO"/>
        </w:rPr>
        <w:t xml:space="preserve"> acordate de Autoritatea Națională de Reglementare în Domeniul Energiei, iar în cursul anului 2023 sistează desfășurarea uneia dintre activitățile reglementate prin licență, la expirarea valabilității sau la retragerea licenței respective, calculul de regularizare a contribuției bănești are la bază cifra de afaceri realizată, aferentă activității desfășurate în anul precedent pe baza licenței a cărei valabilitate a expirat sau care a fost retrasă în cursul anului 2023, ponderată cu raportul dintre numărul de zile din anul 2023 în care licența a fost valabilă și numărul total de zile ale anului respectiv. Contribuția bănească determinată nu poate fi mai mică decât o </w:t>
      </w:r>
      <w:r w:rsidRPr="000318CE">
        <w:rPr>
          <w:rFonts w:ascii="Arial" w:eastAsia="Times New Roman" w:hAnsi="Arial" w:cs="Arial"/>
          <w:sz w:val="24"/>
          <w:szCs w:val="24"/>
          <w:shd w:val="clear" w:color="auto" w:fill="FFFFFF"/>
          <w:lang w:val="ro-RO" w:eastAsia="en-GB"/>
        </w:rPr>
        <w:t>contribuţie minimă în valoare de</w:t>
      </w:r>
      <w:r w:rsidRPr="000318CE">
        <w:rPr>
          <w:rFonts w:ascii="Arial" w:eastAsia="Verdana" w:hAnsi="Arial" w:cs="Arial"/>
          <w:sz w:val="24"/>
          <w:szCs w:val="24"/>
          <w:lang w:eastAsia="ro-RO"/>
        </w:rPr>
        <w:t xml:space="preserve"> de 3.125 lei;</w:t>
      </w:r>
    </w:p>
    <w:p w14:paraId="0DA022B4"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12. La acordarea în cursul anului 2023 a unei licențe pentru desfășurarea de activități în sectorul energiei electrice și termice, a unei </w:t>
      </w:r>
      <w:r w:rsidRPr="000318CE">
        <w:rPr>
          <w:rFonts w:ascii="Arial" w:eastAsia="Times New Roman" w:hAnsi="Arial" w:cs="Arial"/>
          <w:color w:val="000000"/>
          <w:sz w:val="24"/>
          <w:szCs w:val="24"/>
          <w:shd w:val="clear" w:color="auto" w:fill="FFFFFF"/>
          <w:lang w:val="en-GB" w:eastAsia="en-GB"/>
        </w:rPr>
        <w:t>decizii</w:t>
      </w:r>
      <w:r w:rsidRPr="000318CE">
        <w:rPr>
          <w:rFonts w:ascii="Arial" w:eastAsia="Times New Roman" w:hAnsi="Arial" w:cs="Arial"/>
          <w:sz w:val="24"/>
          <w:szCs w:val="24"/>
          <w:shd w:val="clear" w:color="auto" w:fill="FFFFFF"/>
          <w:lang w:val="ro-RO" w:eastAsia="en-GB"/>
        </w:rPr>
        <w:t xml:space="preserve"> de confirmare a sistemului de distribuţie închis</w:t>
      </w:r>
      <w:r w:rsidRPr="000318CE">
        <w:rPr>
          <w:rFonts w:ascii="Arial" w:eastAsia="Verdana" w:hAnsi="Arial" w:cs="Arial"/>
          <w:sz w:val="24"/>
          <w:szCs w:val="24"/>
          <w:lang w:eastAsia="ro-RO"/>
        </w:rPr>
        <w:t>, respectiv a dreptului de participare la pieţele de energie electrică din România confirmat de Autoritatea Națională de Reglementare în Domeniul Energiei, solicitantul achită Autorității Naționale de Reglementare în Domeniul Energiei o contribuție bănească anuală în valoare de 7.500 lei.</w:t>
      </w:r>
    </w:p>
    <w:p w14:paraId="53601A46"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13.(1) În întelesul prezentei anexe, cifra de afaceri care constituie baza de calcul a contribuției bănești anuale percepute de Autoritatea Națională de Reglementare în Domeniul Energiei este cifra de afaceri netă definită și calculată conform reglementărilor contabile. În cazul unităţilor administrativ teritoriale care desfăşoară activitatea de prestare a serviciului de alimentare centralizată cu energie termic, baza de calcul a contribuţiei băneşti anuale este reprezentată de veniturile şi subvenţiile primite de la bugetul local aferente acestei activităţi licenţiate.</w:t>
      </w:r>
    </w:p>
    <w:p w14:paraId="28DCC2D4"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(2)  În cazul titularului</w:t>
      </w:r>
      <w:r w:rsidRPr="000318CE">
        <w:rPr>
          <w:rFonts w:ascii="Arial" w:eastAsia="Times New Roman" w:hAnsi="Arial" w:cs="Arial"/>
          <w:color w:val="000000"/>
          <w:sz w:val="20"/>
          <w:szCs w:val="20"/>
          <w:lang w:val="ro-RO" w:eastAsia="ro-RO"/>
        </w:rPr>
        <w:t xml:space="preserve"> </w:t>
      </w:r>
      <w:r w:rsidRPr="000318CE">
        <w:rPr>
          <w:rFonts w:ascii="Arial" w:eastAsia="Verdana" w:hAnsi="Arial" w:cs="Arial"/>
          <w:sz w:val="24"/>
          <w:szCs w:val="24"/>
          <w:lang w:eastAsia="ro-RO"/>
        </w:rPr>
        <w:t>licenței pentru prestarea serviciului de transport al energiei electrice, precum şi a serviciilor de echilibrare a</w:t>
      </w:r>
      <w:r w:rsidRPr="000318CE">
        <w:rPr>
          <w:rFonts w:ascii="Arial" w:eastAsia="Times New Roman" w:hAnsi="Arial" w:cs="Arial"/>
          <w:color w:val="000000"/>
          <w:sz w:val="20"/>
          <w:szCs w:val="20"/>
          <w:lang w:val="ro-RO" w:eastAsia="ro-RO"/>
        </w:rPr>
        <w:t xml:space="preserve"> </w:t>
      </w:r>
      <w:r w:rsidRPr="000318CE">
        <w:rPr>
          <w:rFonts w:ascii="Arial" w:eastAsia="Verdana" w:hAnsi="Arial" w:cs="Arial"/>
          <w:sz w:val="24"/>
          <w:szCs w:val="24"/>
          <w:lang w:eastAsia="ro-RO"/>
        </w:rPr>
        <w:t xml:space="preserve">sistemului, cifra de afaceri care constituie baza de calcul a contribuției bănești percepute de Autoritatea Națională de Reglementare </w:t>
      </w:r>
      <w:r w:rsidRPr="000318CE">
        <w:rPr>
          <w:rFonts w:ascii="Arial" w:eastAsia="Verdana" w:hAnsi="Arial" w:cs="Arial"/>
          <w:sz w:val="24"/>
          <w:szCs w:val="24"/>
          <w:lang w:eastAsia="ro-RO"/>
        </w:rPr>
        <w:lastRenderedPageBreak/>
        <w:t>în domeniul Energie este cifra de afaceri netă definită și calculată conform reglementărilor contabile, din care se scad veniturile din administrarea pieţelor de echilibrare.</w:t>
      </w:r>
    </w:p>
    <w:p w14:paraId="382AF8DC"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(3) În cazul titularilor de licență/  </w:t>
      </w:r>
      <w:r w:rsidRPr="000318CE">
        <w:rPr>
          <w:rFonts w:ascii="Arial" w:eastAsia="Times New Roman" w:hAnsi="Arial" w:cs="Arial"/>
          <w:sz w:val="24"/>
          <w:szCs w:val="24"/>
          <w:lang w:val="ro-RO" w:eastAsia="ro-RO"/>
        </w:rPr>
        <w:t>decizie de confirmare a dreptului de participare a solicitantului la pieţele de energie electrică din România</w:t>
      </w:r>
      <w:r w:rsidRPr="000318CE">
        <w:rPr>
          <w:rFonts w:ascii="Arial" w:eastAsia="Verdana" w:hAnsi="Arial" w:cs="Arial"/>
          <w:sz w:val="24"/>
          <w:szCs w:val="24"/>
          <w:lang w:eastAsia="ro-RO"/>
        </w:rPr>
        <w:t xml:space="preserve">, cifra de afaceri bază de calcul a contribuției bănești percepute de Autoritatea Națională de Reglementare în Domeniul Energie este cifra de afaceri netă definită și calculată conform reglementărilor contabile, din care se scad veniturile </w:t>
      </w:r>
      <w:r w:rsidRPr="000318CE">
        <w:rPr>
          <w:rFonts w:ascii="Arial" w:eastAsia="Times New Roman" w:hAnsi="Arial" w:cs="Arial"/>
          <w:sz w:val="24"/>
          <w:szCs w:val="24"/>
          <w:lang w:val="ro-RO" w:eastAsia="ro-RO"/>
        </w:rPr>
        <w:t>pentru tranzacțiile</w:t>
      </w:r>
      <w:r w:rsidRPr="000318CE">
        <w:rPr>
          <w:rFonts w:ascii="Arial" w:eastAsia="Verdana" w:hAnsi="Arial" w:cs="Arial"/>
          <w:sz w:val="24"/>
          <w:szCs w:val="24"/>
          <w:lang w:eastAsia="ro-RO"/>
        </w:rPr>
        <w:t xml:space="preserve"> de energie electrică în care au rolul de intermediari pentru piaţa cu negociere dublă continuă;</w:t>
      </w:r>
    </w:p>
    <w:p w14:paraId="6399F273"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(4) În cazul furnizorilor de energie cifra de afaceri care constituie baza de calcul a contribuției bănești percepute de Autoritatea Națională de Reglementare în Domeniul Energiei, reprezintă cifra de afaceri netă definită și calculată conform reglementărilor contabile în vigoare, la care se adaugă sumele aferente din certificate verzi și contribuția pentru cogenerare de înaltă eficiență realizate din activitatea de furnizare de energie electrică la clienții finali, inclusiv componentele prețului de furnizare și valoarea abonamentului, precum și din compensarea acordată de la bugetul de stat, în situația în care acestea nu au fost înregistrate în conturi aferente cifrei de afaceri nete conform politicilor contabile proprii.</w:t>
      </w:r>
    </w:p>
    <w:p w14:paraId="23F72083"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14. Pentru analiza documentației transmise în vederea emiterii deciziei de aprobare a prețurilor/tarifelor în sectorul energiei electrice și al energiei termice produse în cogenerare și pentru energia termică produsă în capacități de producere separată, persoanele fizice și juridice vor achita o contribuție bănească de 3.125 lei dacă:</w:t>
      </w:r>
    </w:p>
    <w:p w14:paraId="5AA7094B"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a) au obligația legală de a solicita Autorității Naționale de Reglementare în Domeniul Energiei aprobarea prețurilor/tarifelor percepute în desfășurarea activităților comerciale;</w:t>
      </w:r>
    </w:p>
    <w:p w14:paraId="551C7BEE"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b) desfășoară, potrivit legii, astfel de activități în sectorul energiei electrice, fără a fi titulare de licențe.</w:t>
      </w:r>
    </w:p>
    <w:p w14:paraId="40CB32B3"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Această contribuție se percepe odată cu depunerea dosarului de analiză și nu se restituie solicitantului în cazul în care Autoritatea Națională de Reglementare în Domeniul Energiei refuză aprobarea sau în caz de restituire a documentației pe motiv că documentația nu este completă.</w:t>
      </w:r>
    </w:p>
    <w:p w14:paraId="4E64E3AE"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15. Operatorii economici, persoane fizice și juridice, solicitanți ai acreditării sau ai modificării acreditării pentru aplicarea sistemului de promovare prin certificate verzi, care nu sunt titulari de licență de exploatare comercială a capacității de producere a energiei electrice din surse regenerabile E-SRE pentru care se solicită  acreditarea, operatorii economici care dezvoltă proiecte de centrale de producere a E-SRE cu putere instalată mai mare de 250 MW, supuși evaluării detaliate a măsurii de sprijin și notificării către Comisia Europeană, precum și operatorii economici titulari de licență de producere de energie electrică în cogenerare cu capacități instalate în centrală mai mari de 200 MW care solicită accesarea măsurii de sprijin aprobate prin </w:t>
      </w:r>
      <w:r w:rsidRPr="000318CE">
        <w:rPr>
          <w:rFonts w:ascii="Arial" w:eastAsia="Verdana" w:hAnsi="Arial" w:cs="Arial"/>
          <w:vanish/>
          <w:sz w:val="24"/>
          <w:szCs w:val="24"/>
          <w:lang w:eastAsia="ro-RO"/>
        </w:rPr>
        <w:t>&lt;LLNK 12009  1215 22 331   0 35&gt;</w:t>
      </w:r>
      <w:r w:rsidRPr="000318CE">
        <w:rPr>
          <w:rFonts w:ascii="Arial" w:eastAsia="Verdana" w:hAnsi="Arial" w:cs="Arial"/>
          <w:sz w:val="24"/>
          <w:szCs w:val="24"/>
          <w:lang w:eastAsia="ro-RO"/>
        </w:rPr>
        <w:t>Hotărârea Guvernului nr. 1.215/2009 privind stabilirea criteriilor și a condițiilor necesare implementării schemei de sprijin pentru promovarea cogenerării de înaltă eficiență pe baza cererii de energie termică utilă, cu modificările și completările ulterioare, supuși evaluării detaliate a notificării individuale către Comisia Europeană, achită Autorității Naționale de Reglementare în Domeniul Energiei o contribuție bănească de:</w:t>
      </w:r>
    </w:p>
    <w:p w14:paraId="0F7F5E35"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a) 3.125 lei pentru operatorii economici persoane juridice, solicitanți ai acreditării sau ai modificării acreditării pentru aplicarea sistemului de promovare prin certificate verzi, care nu sunt titulari de licență de exploatare comercială a capacității de producere a E-</w:t>
      </w:r>
      <w:r w:rsidRPr="000318CE">
        <w:rPr>
          <w:rFonts w:ascii="Arial" w:eastAsia="Verdana" w:hAnsi="Arial" w:cs="Arial"/>
          <w:sz w:val="24"/>
          <w:szCs w:val="24"/>
          <w:lang w:eastAsia="ro-RO"/>
        </w:rPr>
        <w:lastRenderedPageBreak/>
        <w:t>SRE pentru care se solicită acreditarea;</w:t>
      </w:r>
      <w:r w:rsidRPr="000318CE">
        <w:rPr>
          <w:rFonts w:ascii="Arial" w:eastAsia="Verdana" w:hAnsi="Arial" w:cs="Arial"/>
          <w:sz w:val="18"/>
          <w:szCs w:val="16"/>
          <w:lang w:val="ro-RO" w:eastAsia="ro-RO"/>
        </w:rPr>
        <w:t xml:space="preserve"> </w:t>
      </w:r>
      <w:r w:rsidRPr="000318CE">
        <w:rPr>
          <w:rFonts w:ascii="Arial" w:eastAsia="Verdana" w:hAnsi="Arial" w:cs="Arial"/>
          <w:sz w:val="24"/>
          <w:szCs w:val="24"/>
          <w:lang w:eastAsia="ro-RO"/>
        </w:rPr>
        <w:t xml:space="preserve">În cazul operatorilor economici care dețin mai multe capacități de producere a E-SRE, contribuția bănească se percepe pentru fiecare decizie de modificare </w:t>
      </w:r>
      <w:proofErr w:type="gramStart"/>
      <w:r w:rsidRPr="000318CE">
        <w:rPr>
          <w:rFonts w:ascii="Arial" w:eastAsia="Verdana" w:hAnsi="Arial" w:cs="Arial"/>
          <w:sz w:val="24"/>
          <w:szCs w:val="24"/>
          <w:lang w:eastAsia="ro-RO"/>
        </w:rPr>
        <w:t>a</w:t>
      </w:r>
      <w:proofErr w:type="gramEnd"/>
      <w:r w:rsidRPr="000318CE">
        <w:rPr>
          <w:rFonts w:ascii="Arial" w:eastAsia="Verdana" w:hAnsi="Arial" w:cs="Arial"/>
          <w:sz w:val="24"/>
          <w:szCs w:val="24"/>
          <w:lang w:eastAsia="ro-RO"/>
        </w:rPr>
        <w:t xml:space="preserve"> acreditării emisă acestora;</w:t>
      </w:r>
    </w:p>
    <w:p w14:paraId="244DE27C"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b) 800 lei pentru operatorii economici persoane juridice, solicitanţi ai modificării acreditării pentru aplicarea</w:t>
      </w:r>
    </w:p>
    <w:p w14:paraId="5AF6709C"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sistemului de promovare prin certificate verzi ca urmare a modificării denumirii societăţii sau a formei de organizare sau solicitanți ai suspendării acreditării pentru aplicarea sistemului de promovare prin certificate verzi, în cazul în care aceștia nu sunt titulari de licenţă de exploatare comercială a capacităţii de producere a E-SRE pentru care se solicită acreditarea, prin derogare de la prevederile lit. a);</w:t>
      </w:r>
    </w:p>
    <w:p w14:paraId="3B4AE80A"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c) 600 lei pentru operatorii economici persoane fizice, solicitanți ai acreditării </w:t>
      </w:r>
      <w:r w:rsidRPr="000318CE">
        <w:rPr>
          <w:rFonts w:ascii="Arial" w:eastAsia="Times New Roman" w:hAnsi="Arial" w:cs="Arial"/>
          <w:sz w:val="24"/>
          <w:szCs w:val="24"/>
          <w:lang w:eastAsia="ro-RO"/>
        </w:rPr>
        <w:t>sau ai modificării acreditării</w:t>
      </w:r>
      <w:r w:rsidRPr="000318CE">
        <w:rPr>
          <w:rFonts w:ascii="Arial" w:eastAsia="Verdana" w:hAnsi="Arial" w:cs="Arial"/>
          <w:sz w:val="24"/>
          <w:szCs w:val="24"/>
          <w:lang w:eastAsia="ro-RO"/>
        </w:rPr>
        <w:t xml:space="preserve"> pentru aplicarea sistemului de promovare prin certificate verzi, care nu sunt titulari de licență de exploatare comercială a capacității de producere a E-SRE;</w:t>
      </w:r>
    </w:p>
    <w:p w14:paraId="43B49988"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d) 150 lei pentru operatorii economici persoane fizice, solicitanți ai acreditării sau ai modificării acreditării pentru aplicarea sistemului de promovare prin certificate verzi ca urmare a modificării denumirii sau a formei de organizare, în cazul în care acestia nu sunt titulari de licență de exploatare comercială a capacității de producere a E-SRE, prin derogare de la prevederile lit. c);   </w:t>
      </w:r>
    </w:p>
    <w:p w14:paraId="0272BE57"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e) 600 lei/MW instalat pentru operatorii economici care dezvoltă proiecte de centrale electrice supuse evaluării detaliate și notificării măsurii de sprijin către Comisia Europeană;</w:t>
      </w:r>
    </w:p>
    <w:p w14:paraId="06FCD179"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16. Operatorii economici acreditați pentru aplicarea sistemului de promovare prin certificate verzi achită Autorității Naționale de Reglementare în Domeniul Energiei o contribuție bănească de:</w:t>
      </w:r>
    </w:p>
    <w:p w14:paraId="2BFCB579" w14:textId="77777777" w:rsidR="009B1274" w:rsidRPr="000318CE" w:rsidRDefault="009B1274" w:rsidP="009B1274">
      <w:pPr>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a) 125 lei pentru emiterea unui duplicat al deciziei de acreditare/modificare </w:t>
      </w:r>
      <w:proofErr w:type="gramStart"/>
      <w:r w:rsidRPr="000318CE">
        <w:rPr>
          <w:rFonts w:ascii="Arial" w:eastAsia="Verdana" w:hAnsi="Arial" w:cs="Arial"/>
          <w:sz w:val="24"/>
          <w:szCs w:val="24"/>
          <w:lang w:eastAsia="ro-RO"/>
        </w:rPr>
        <w:t>a</w:t>
      </w:r>
      <w:proofErr w:type="gramEnd"/>
      <w:r w:rsidRPr="000318CE">
        <w:rPr>
          <w:rFonts w:ascii="Arial" w:eastAsia="Verdana" w:hAnsi="Arial" w:cs="Arial"/>
          <w:sz w:val="24"/>
          <w:szCs w:val="24"/>
          <w:lang w:eastAsia="ro-RO"/>
        </w:rPr>
        <w:t xml:space="preserve"> acreditării/respingere a acreditării sau al deciziei de suspendare/încetare suspendare/retragere a acredit</w:t>
      </w:r>
      <w:r w:rsidRPr="000318CE">
        <w:rPr>
          <w:rFonts w:ascii="Arial" w:eastAsia="Verdana" w:hAnsi="Arial" w:cs="Arial"/>
          <w:sz w:val="24"/>
          <w:szCs w:val="24"/>
          <w:lang w:val="ro-RO" w:eastAsia="ro-RO"/>
        </w:rPr>
        <w:t>ării</w:t>
      </w:r>
      <w:r w:rsidRPr="000318CE">
        <w:rPr>
          <w:rFonts w:ascii="Arial" w:eastAsia="Verdana" w:hAnsi="Arial" w:cs="Arial"/>
          <w:sz w:val="24"/>
          <w:szCs w:val="24"/>
          <w:lang w:eastAsia="ro-RO"/>
        </w:rPr>
        <w:t>;</w:t>
      </w:r>
    </w:p>
    <w:p w14:paraId="18CABB5E" w14:textId="77777777" w:rsidR="009B1274" w:rsidRPr="000318CE" w:rsidRDefault="009B1274" w:rsidP="009B1274">
      <w:pPr>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b) 350 lei pentru comunicarea de copii ale documentelor din dosarul aferent deciziei de acreditare. Această contribuție bănească nu se aplică în cazul deciziilor prevăzute la lit. a) emise din propria inițiativă a Autorității Naționale de Reglementare în Domeniul Energiei, precum și în situațiile în care este necesară comunicarea de date și informații solicitate de către autorități ale statului, în conformitate cu prevederile legale în vigoare.</w:t>
      </w:r>
    </w:p>
    <w:p w14:paraId="3482B644"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w:t>
      </w:r>
      <w:bookmarkStart w:id="1" w:name="_Hlk116478682"/>
      <w:r w:rsidRPr="000318CE">
        <w:rPr>
          <w:rFonts w:ascii="Arial" w:eastAsia="Verdana" w:hAnsi="Arial" w:cs="Arial"/>
          <w:sz w:val="24"/>
          <w:szCs w:val="24"/>
          <w:lang w:eastAsia="ro-RO"/>
        </w:rPr>
        <w:t>17. Operatorii economici care solicită emiterea de avize pentru acreditarea preliminară/finală a unităților de cogenerare noi sau retehnologizate achită Autorității Naționale de Reglementare în Domeniul Energiei o contribuție bănească determinată cu formula: T = 3.125 + 200 x P [lei], în care „</w:t>
      </w:r>
      <w:proofErr w:type="gramStart"/>
      <w:r w:rsidRPr="000318CE">
        <w:rPr>
          <w:rFonts w:ascii="Arial" w:eastAsia="Verdana" w:hAnsi="Arial" w:cs="Arial"/>
          <w:sz w:val="24"/>
          <w:szCs w:val="24"/>
          <w:lang w:eastAsia="ro-RO"/>
        </w:rPr>
        <w:t>T“ reprezintă</w:t>
      </w:r>
      <w:proofErr w:type="gramEnd"/>
      <w:r w:rsidRPr="000318CE">
        <w:rPr>
          <w:rFonts w:ascii="Arial" w:eastAsia="Verdana" w:hAnsi="Arial" w:cs="Arial"/>
          <w:sz w:val="24"/>
          <w:szCs w:val="24"/>
          <w:lang w:eastAsia="ro-RO"/>
        </w:rPr>
        <w:t xml:space="preserve"> contribuția bănească, iar „P“ se exprimă în [MW] și reprezintă puterea electrică instalată.</w:t>
      </w:r>
    </w:p>
    <w:bookmarkEnd w:id="1"/>
    <w:p w14:paraId="159717E0" w14:textId="77777777" w:rsidR="009B1274" w:rsidRPr="000318CE" w:rsidRDefault="009B1274" w:rsidP="009B1274">
      <w:pPr>
        <w:autoSpaceDE w:val="0"/>
        <w:autoSpaceDN w:val="0"/>
        <w:spacing w:after="0" w:line="240" w:lineRule="auto"/>
        <w:jc w:val="both"/>
        <w:rPr>
          <w:rFonts w:ascii="Arial" w:eastAsia="Verdana" w:hAnsi="Arial" w:cs="Arial"/>
          <w:b/>
          <w:color w:val="FF0000"/>
          <w:sz w:val="24"/>
          <w:szCs w:val="24"/>
          <w:lang w:eastAsia="ro-RO"/>
        </w:rPr>
      </w:pPr>
    </w:p>
    <w:p w14:paraId="607B9AF1" w14:textId="77777777" w:rsidR="009B1274" w:rsidRPr="000318CE" w:rsidRDefault="009B1274" w:rsidP="009B1274">
      <w:pPr>
        <w:autoSpaceDE w:val="0"/>
        <w:autoSpaceDN w:val="0"/>
        <w:spacing w:after="0" w:line="240" w:lineRule="auto"/>
        <w:jc w:val="both"/>
        <w:rPr>
          <w:rFonts w:ascii="Arial" w:eastAsia="Verdana" w:hAnsi="Arial" w:cs="Arial"/>
          <w:b/>
          <w:sz w:val="24"/>
          <w:szCs w:val="24"/>
          <w:lang w:eastAsia="ro-RO"/>
        </w:rPr>
      </w:pPr>
      <w:r w:rsidRPr="000318CE">
        <w:rPr>
          <w:rFonts w:ascii="Arial" w:eastAsia="Verdana" w:hAnsi="Arial" w:cs="Arial"/>
          <w:b/>
          <w:sz w:val="24"/>
          <w:szCs w:val="24"/>
          <w:lang w:eastAsia="ro-RO"/>
        </w:rPr>
        <w:t xml:space="preserve">    II. Contribuția bănească percepută de la operatorii economici care desfășoară activități în sectorul gazelor naturale pe bază de licență, de </w:t>
      </w:r>
      <w:r w:rsidRPr="000318CE">
        <w:rPr>
          <w:rFonts w:ascii="Arial" w:eastAsia="Verdana" w:hAnsi="Arial" w:cs="Arial"/>
          <w:sz w:val="24"/>
          <w:szCs w:val="24"/>
          <w:lang w:eastAsia="ro-RO"/>
        </w:rPr>
        <w:t xml:space="preserve">decizii de confirmare a sistemului de distribuţie închis sau pe bază de drept confimat de Autoritatea Națională de Reglementare în Domeniul Energiei de participare la pieţele de gaze naturale din România </w:t>
      </w:r>
    </w:p>
    <w:p w14:paraId="00F3F858" w14:textId="77777777" w:rsidR="009B1274" w:rsidRPr="000318CE" w:rsidRDefault="009B1274" w:rsidP="009B1274">
      <w:pPr>
        <w:autoSpaceDE w:val="0"/>
        <w:autoSpaceDN w:val="0"/>
        <w:spacing w:after="0" w:line="240" w:lineRule="auto"/>
        <w:jc w:val="both"/>
        <w:rPr>
          <w:rFonts w:ascii="Arial" w:eastAsia="Verdana" w:hAnsi="Arial" w:cs="Arial"/>
          <w:b/>
          <w:sz w:val="24"/>
          <w:szCs w:val="24"/>
          <w:lang w:eastAsia="ro-RO"/>
        </w:rPr>
      </w:pPr>
    </w:p>
    <w:p w14:paraId="2A8AE93D" w14:textId="77777777" w:rsidR="009B1274" w:rsidRPr="000318CE" w:rsidRDefault="009B1274" w:rsidP="009B1274">
      <w:pPr>
        <w:autoSpaceDE w:val="0"/>
        <w:autoSpaceDN w:val="0"/>
        <w:spacing w:after="0" w:line="240" w:lineRule="auto"/>
        <w:jc w:val="both"/>
        <w:rPr>
          <w:rFonts w:ascii="Arial" w:eastAsia="Verdana" w:hAnsi="Arial" w:cs="Arial"/>
          <w:b/>
          <w:sz w:val="24"/>
          <w:szCs w:val="24"/>
          <w:lang w:eastAsia="ro-RO"/>
        </w:rPr>
      </w:pPr>
      <w:r w:rsidRPr="000318CE">
        <w:rPr>
          <w:rFonts w:ascii="Arial" w:eastAsia="Verdana" w:hAnsi="Arial" w:cs="Arial"/>
          <w:sz w:val="24"/>
          <w:szCs w:val="24"/>
          <w:lang w:eastAsia="ro-RO"/>
        </w:rPr>
        <w:t xml:space="preserve">    Contribuția bănească anuală percepută titularilor de licență din sectorul gazelor naturale, deciziilor de confirmare a sistemului de distribuţie închis sau titularilor </w:t>
      </w:r>
      <w:r w:rsidRPr="000318CE">
        <w:rPr>
          <w:rFonts w:ascii="Arial" w:eastAsia="Verdana" w:hAnsi="Arial" w:cs="Arial"/>
          <w:sz w:val="24"/>
          <w:szCs w:val="24"/>
          <w:lang w:eastAsia="ro-RO"/>
        </w:rPr>
        <w:lastRenderedPageBreak/>
        <w:t>confirmărilor privind dreptul de participare la pieţele de gaze naturale din România acordate de Autoritatea Națională de Reglementare în Domeniul Energiei se stabilește pe baza datelor şi informaţiilor prevăzute în tabelul nr. 1.</w:t>
      </w:r>
    </w:p>
    <w:p w14:paraId="2E229584" w14:textId="77777777" w:rsidR="009B1274" w:rsidRPr="000318CE" w:rsidRDefault="009B1274" w:rsidP="009B1274">
      <w:pPr>
        <w:autoSpaceDE w:val="0"/>
        <w:autoSpaceDN w:val="0"/>
        <w:spacing w:after="0" w:line="240" w:lineRule="auto"/>
        <w:jc w:val="both"/>
        <w:rPr>
          <w:rFonts w:ascii="Arial" w:eastAsia="Verdana" w:hAnsi="Arial" w:cs="Arial"/>
          <w:b/>
          <w:sz w:val="24"/>
          <w:szCs w:val="24"/>
          <w:lang w:eastAsia="ro-RO"/>
        </w:rPr>
      </w:pPr>
      <w:r w:rsidRPr="000318CE">
        <w:rPr>
          <w:rFonts w:ascii="Arial" w:eastAsia="Verdana" w:hAnsi="Arial" w:cs="Arial"/>
          <w:b/>
          <w:sz w:val="24"/>
          <w:szCs w:val="24"/>
          <w:lang w:eastAsia="ro-RO"/>
        </w:rPr>
        <w:t xml:space="preserve">    Tabelul nr. 1 - Contribuția bănească anual</w:t>
      </w:r>
      <w:r w:rsidRPr="000318CE">
        <w:rPr>
          <w:rFonts w:ascii="Arial" w:eastAsia="Verdana" w:hAnsi="Arial" w:cs="Arial"/>
          <w:b/>
          <w:sz w:val="24"/>
          <w:szCs w:val="24"/>
          <w:lang w:val="ro-RO" w:eastAsia="ro-RO"/>
        </w:rPr>
        <w:t>ă</w:t>
      </w:r>
      <w:r w:rsidRPr="000318CE">
        <w:rPr>
          <w:rFonts w:ascii="Arial" w:eastAsia="Verdana" w:hAnsi="Arial" w:cs="Arial"/>
          <w:b/>
          <w:sz w:val="24"/>
          <w:szCs w:val="24"/>
          <w:lang w:eastAsia="ro-RO"/>
        </w:rPr>
        <w:t xml:space="preserve"> percepută pentru desfășurarea activităților din sectorul gazelor naturale pe bază de licență/decizie de confirmare a sistemului de distribuție închis</w:t>
      </w:r>
      <w:r w:rsidRPr="000318CE">
        <w:rPr>
          <w:rFonts w:ascii="Arial" w:eastAsia="Verdana" w:hAnsi="Arial" w:cs="Arial"/>
          <w:sz w:val="24"/>
          <w:szCs w:val="24"/>
          <w:lang w:eastAsia="ro-RO"/>
        </w:rPr>
        <w:t>/</w:t>
      </w:r>
      <w:r w:rsidRPr="000318CE">
        <w:rPr>
          <w:rFonts w:ascii="Arial" w:eastAsia="Verdana" w:hAnsi="Arial" w:cs="Arial"/>
          <w:b/>
          <w:sz w:val="24"/>
          <w:szCs w:val="24"/>
          <w:lang w:eastAsia="ro-RO"/>
        </w:rPr>
        <w:t xml:space="preserve">drept confimat de participare la pieţele de gaze naturale din România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
        <w:gridCol w:w="2764"/>
        <w:gridCol w:w="3883"/>
        <w:gridCol w:w="776"/>
        <w:gridCol w:w="1377"/>
      </w:tblGrid>
      <w:tr w:rsidR="009B1274" w:rsidRPr="000318CE" w14:paraId="3F7E44CB" w14:textId="77777777" w:rsidTr="00AF7EC3">
        <w:tc>
          <w:tcPr>
            <w:tcW w:w="295" w:type="pct"/>
            <w:shd w:val="clear" w:color="auto" w:fill="auto"/>
          </w:tcPr>
          <w:p w14:paraId="7FCEAB73"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Nr. crt.</w:t>
            </w:r>
          </w:p>
        </w:tc>
        <w:tc>
          <w:tcPr>
            <w:tcW w:w="1585" w:type="pct"/>
            <w:shd w:val="clear" w:color="auto" w:fill="auto"/>
          </w:tcPr>
          <w:p w14:paraId="36944FB4"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Activitate </w:t>
            </w:r>
          </w:p>
        </w:tc>
        <w:tc>
          <w:tcPr>
            <w:tcW w:w="2130" w:type="pct"/>
            <w:shd w:val="clear" w:color="auto" w:fill="auto"/>
          </w:tcPr>
          <w:p w14:paraId="72C2846E" w14:textId="77777777" w:rsidR="009B1274" w:rsidRPr="000318CE" w:rsidRDefault="009B1274" w:rsidP="00AF7EC3">
            <w:pPr>
              <w:autoSpaceDE w:val="0"/>
              <w:autoSpaceDN w:val="0"/>
              <w:spacing w:after="0" w:line="240" w:lineRule="auto"/>
              <w:jc w:val="center"/>
              <w:rPr>
                <w:rFonts w:ascii="Arial" w:eastAsiaTheme="minorEastAsia" w:hAnsi="Arial" w:cs="Arial"/>
                <w:sz w:val="24"/>
                <w:szCs w:val="24"/>
                <w:lang w:val="en-GB" w:eastAsia="en-GB"/>
              </w:rPr>
            </w:pPr>
            <w:r w:rsidRPr="000318CE">
              <w:rPr>
                <w:rFonts w:ascii="Arial" w:eastAsiaTheme="minorEastAsia" w:hAnsi="Arial" w:cs="Arial"/>
                <w:sz w:val="24"/>
                <w:szCs w:val="24"/>
                <w:lang w:val="en-GB" w:eastAsia="en-GB"/>
              </w:rPr>
              <w:t>Bază de calcul</w:t>
            </w:r>
          </w:p>
          <w:p w14:paraId="2B5F5A36"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p>
        </w:tc>
        <w:tc>
          <w:tcPr>
            <w:tcW w:w="378" w:type="pct"/>
            <w:shd w:val="clear" w:color="auto" w:fill="auto"/>
          </w:tcPr>
          <w:p w14:paraId="041492FA"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U.M.</w:t>
            </w:r>
          </w:p>
        </w:tc>
        <w:tc>
          <w:tcPr>
            <w:tcW w:w="612" w:type="pct"/>
            <w:shd w:val="clear" w:color="auto" w:fill="auto"/>
          </w:tcPr>
          <w:p w14:paraId="24572DA1"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Contribuția bănească</w:t>
            </w:r>
            <w:r w:rsidRPr="000318CE">
              <w:rPr>
                <w:rFonts w:ascii="Arial" w:eastAsia="Verdana" w:hAnsi="Arial" w:cs="Arial"/>
                <w:sz w:val="24"/>
                <w:szCs w:val="24"/>
                <w:lang w:val="ro-RO" w:eastAsia="ro-RO"/>
              </w:rPr>
              <w:br/>
              <w:t>(lei/U.M)</w:t>
            </w:r>
          </w:p>
        </w:tc>
      </w:tr>
      <w:tr w:rsidR="009B1274" w:rsidRPr="000318CE" w14:paraId="77C7CD7B" w14:textId="77777777" w:rsidTr="00AF7EC3">
        <w:tc>
          <w:tcPr>
            <w:tcW w:w="295" w:type="pct"/>
            <w:shd w:val="clear" w:color="auto" w:fill="auto"/>
          </w:tcPr>
          <w:p w14:paraId="6A21E846"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1.</w:t>
            </w:r>
          </w:p>
        </w:tc>
        <w:tc>
          <w:tcPr>
            <w:tcW w:w="1585" w:type="pct"/>
            <w:shd w:val="clear" w:color="auto" w:fill="auto"/>
          </w:tcPr>
          <w:p w14:paraId="31D8BF0A"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Furnizarea de gaze naturale/ biogaz/biometan              </w:t>
            </w:r>
          </w:p>
        </w:tc>
        <w:tc>
          <w:tcPr>
            <w:tcW w:w="2130" w:type="pct"/>
            <w:shd w:val="clear" w:color="auto" w:fill="auto"/>
          </w:tcPr>
          <w:p w14:paraId="6325B4E7"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Cantitatea de gaze naturale/biogaz/ biometan     </w:t>
            </w:r>
          </w:p>
        </w:tc>
        <w:tc>
          <w:tcPr>
            <w:tcW w:w="378" w:type="pct"/>
            <w:shd w:val="clear" w:color="auto" w:fill="auto"/>
          </w:tcPr>
          <w:p w14:paraId="3899ECB1"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MWh</w:t>
            </w:r>
          </w:p>
        </w:tc>
        <w:tc>
          <w:tcPr>
            <w:tcW w:w="612" w:type="pct"/>
            <w:shd w:val="clear" w:color="auto" w:fill="auto"/>
          </w:tcPr>
          <w:p w14:paraId="041A15ED"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0,168</w:t>
            </w:r>
          </w:p>
        </w:tc>
      </w:tr>
      <w:tr w:rsidR="009B1274" w:rsidRPr="000318CE" w14:paraId="4BF0367B" w14:textId="77777777" w:rsidTr="00AF7EC3">
        <w:trPr>
          <w:trHeight w:val="350"/>
        </w:trPr>
        <w:tc>
          <w:tcPr>
            <w:tcW w:w="295" w:type="pct"/>
            <w:shd w:val="clear" w:color="auto" w:fill="auto"/>
          </w:tcPr>
          <w:p w14:paraId="4722E437"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2.</w:t>
            </w:r>
          </w:p>
        </w:tc>
        <w:tc>
          <w:tcPr>
            <w:tcW w:w="1585" w:type="pct"/>
            <w:shd w:val="clear" w:color="auto" w:fill="auto"/>
          </w:tcPr>
          <w:p w14:paraId="2099E7A0"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Trader de gaze naturale</w:t>
            </w:r>
          </w:p>
        </w:tc>
        <w:tc>
          <w:tcPr>
            <w:tcW w:w="2130" w:type="pct"/>
            <w:shd w:val="clear" w:color="auto" w:fill="auto"/>
          </w:tcPr>
          <w:p w14:paraId="4B57B034"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Cantitatea de gaze naturale</w:t>
            </w:r>
          </w:p>
        </w:tc>
        <w:tc>
          <w:tcPr>
            <w:tcW w:w="378" w:type="pct"/>
            <w:shd w:val="clear" w:color="auto" w:fill="auto"/>
          </w:tcPr>
          <w:p w14:paraId="7E0F94E0"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MWh</w:t>
            </w:r>
          </w:p>
        </w:tc>
        <w:tc>
          <w:tcPr>
            <w:tcW w:w="612" w:type="pct"/>
            <w:shd w:val="clear" w:color="auto" w:fill="auto"/>
          </w:tcPr>
          <w:p w14:paraId="36CF5B59"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0,168</w:t>
            </w:r>
          </w:p>
        </w:tc>
      </w:tr>
      <w:tr w:rsidR="009B1274" w:rsidRPr="000318CE" w14:paraId="0C3AA604" w14:textId="77777777" w:rsidTr="00AF7EC3">
        <w:tc>
          <w:tcPr>
            <w:tcW w:w="295" w:type="pct"/>
            <w:shd w:val="clear" w:color="auto" w:fill="auto"/>
          </w:tcPr>
          <w:p w14:paraId="5966DBA8"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3.</w:t>
            </w:r>
          </w:p>
        </w:tc>
        <w:tc>
          <w:tcPr>
            <w:tcW w:w="1585" w:type="pct"/>
            <w:shd w:val="clear" w:color="auto" w:fill="auto"/>
          </w:tcPr>
          <w:p w14:paraId="5A05A71A"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Furnizarea de gaze naturale de către furnizori de gaze naturale care sunt și producători de gaze naturale</w:t>
            </w:r>
          </w:p>
        </w:tc>
        <w:tc>
          <w:tcPr>
            <w:tcW w:w="2130" w:type="pct"/>
            <w:shd w:val="clear" w:color="auto" w:fill="auto"/>
          </w:tcPr>
          <w:p w14:paraId="25E87FF1"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p w14:paraId="6380FED0"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Cantitatea de gaze naturale     </w:t>
            </w:r>
          </w:p>
        </w:tc>
        <w:tc>
          <w:tcPr>
            <w:tcW w:w="378" w:type="pct"/>
            <w:shd w:val="clear" w:color="auto" w:fill="auto"/>
          </w:tcPr>
          <w:p w14:paraId="66BC6F97"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p w14:paraId="6611E1A0"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MWh</w:t>
            </w:r>
          </w:p>
        </w:tc>
        <w:tc>
          <w:tcPr>
            <w:tcW w:w="612" w:type="pct"/>
            <w:shd w:val="clear" w:color="auto" w:fill="auto"/>
          </w:tcPr>
          <w:p w14:paraId="570994EF"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p w14:paraId="25A37E8D"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0,168</w:t>
            </w:r>
          </w:p>
        </w:tc>
      </w:tr>
      <w:tr w:rsidR="009B1274" w:rsidRPr="000318CE" w14:paraId="1779EB0D" w14:textId="77777777" w:rsidTr="00AF7EC3">
        <w:trPr>
          <w:trHeight w:val="413"/>
        </w:trPr>
        <w:tc>
          <w:tcPr>
            <w:tcW w:w="295" w:type="pct"/>
            <w:shd w:val="clear" w:color="auto" w:fill="auto"/>
          </w:tcPr>
          <w:p w14:paraId="40FFA32C"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4.</w:t>
            </w:r>
          </w:p>
        </w:tc>
        <w:tc>
          <w:tcPr>
            <w:tcW w:w="1585" w:type="pct"/>
            <w:shd w:val="clear" w:color="auto" w:fill="auto"/>
          </w:tcPr>
          <w:p w14:paraId="2A239FE9"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Furnizarea de GNL             </w:t>
            </w:r>
          </w:p>
        </w:tc>
        <w:tc>
          <w:tcPr>
            <w:tcW w:w="2130" w:type="pct"/>
            <w:shd w:val="clear" w:color="auto" w:fill="auto"/>
          </w:tcPr>
          <w:p w14:paraId="33BA67B7"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Cantitate de GNL                </w:t>
            </w:r>
          </w:p>
        </w:tc>
        <w:tc>
          <w:tcPr>
            <w:tcW w:w="378" w:type="pct"/>
            <w:shd w:val="clear" w:color="auto" w:fill="auto"/>
          </w:tcPr>
          <w:p w14:paraId="1129A88E"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t</w:t>
            </w:r>
          </w:p>
        </w:tc>
        <w:tc>
          <w:tcPr>
            <w:tcW w:w="612" w:type="pct"/>
            <w:shd w:val="clear" w:color="auto" w:fill="auto"/>
          </w:tcPr>
          <w:p w14:paraId="06341799"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0,780</w:t>
            </w:r>
          </w:p>
        </w:tc>
      </w:tr>
      <w:tr w:rsidR="009B1274" w:rsidRPr="000318CE" w14:paraId="4B5705F6" w14:textId="77777777" w:rsidTr="00AF7EC3">
        <w:trPr>
          <w:trHeight w:val="395"/>
        </w:trPr>
        <w:tc>
          <w:tcPr>
            <w:tcW w:w="295" w:type="pct"/>
            <w:shd w:val="clear" w:color="auto" w:fill="auto"/>
          </w:tcPr>
          <w:p w14:paraId="3B3B1A7B"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5.</w:t>
            </w:r>
          </w:p>
        </w:tc>
        <w:tc>
          <w:tcPr>
            <w:tcW w:w="1585" w:type="pct"/>
            <w:shd w:val="clear" w:color="auto" w:fill="auto"/>
          </w:tcPr>
          <w:p w14:paraId="6573A278"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Operare a sistemului de transportul gazelor naturale</w:t>
            </w:r>
          </w:p>
        </w:tc>
        <w:tc>
          <w:tcPr>
            <w:tcW w:w="2130" w:type="pct"/>
            <w:shd w:val="clear" w:color="auto" w:fill="auto"/>
          </w:tcPr>
          <w:p w14:paraId="202CC1DE"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Cantitatea de gaze naturale transportată                        </w:t>
            </w:r>
          </w:p>
        </w:tc>
        <w:tc>
          <w:tcPr>
            <w:tcW w:w="378" w:type="pct"/>
            <w:shd w:val="clear" w:color="auto" w:fill="auto"/>
          </w:tcPr>
          <w:p w14:paraId="7016272E"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MWh</w:t>
            </w:r>
          </w:p>
        </w:tc>
        <w:tc>
          <w:tcPr>
            <w:tcW w:w="612" w:type="pct"/>
            <w:shd w:val="clear" w:color="auto" w:fill="auto"/>
          </w:tcPr>
          <w:p w14:paraId="1CE9FF22"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0,062</w:t>
            </w:r>
          </w:p>
          <w:p w14:paraId="57ED72B9"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tc>
      </w:tr>
      <w:tr w:rsidR="009B1274" w:rsidRPr="000318CE" w14:paraId="0CD19847" w14:textId="77777777" w:rsidTr="00AF7EC3">
        <w:trPr>
          <w:trHeight w:val="620"/>
        </w:trPr>
        <w:tc>
          <w:tcPr>
            <w:tcW w:w="295" w:type="pct"/>
            <w:shd w:val="clear" w:color="auto" w:fill="auto"/>
          </w:tcPr>
          <w:p w14:paraId="648C97A4"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6.</w:t>
            </w:r>
          </w:p>
        </w:tc>
        <w:tc>
          <w:tcPr>
            <w:tcW w:w="1585" w:type="pct"/>
            <w:shd w:val="clear" w:color="auto" w:fill="auto"/>
          </w:tcPr>
          <w:p w14:paraId="00A2504A"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Operare a sistemului de înmagazinarea subterană a gazelor naturale      </w:t>
            </w:r>
          </w:p>
        </w:tc>
        <w:tc>
          <w:tcPr>
            <w:tcW w:w="2130" w:type="pct"/>
            <w:shd w:val="clear" w:color="auto" w:fill="auto"/>
          </w:tcPr>
          <w:p w14:paraId="6DEED4F6"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Cantitatea de gaze naturale înmagazinată în depozitele de înmagazinare subterană    </w:t>
            </w:r>
          </w:p>
        </w:tc>
        <w:tc>
          <w:tcPr>
            <w:tcW w:w="378" w:type="pct"/>
            <w:shd w:val="clear" w:color="auto" w:fill="auto"/>
          </w:tcPr>
          <w:p w14:paraId="7E6CD667"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MWh</w:t>
            </w:r>
          </w:p>
        </w:tc>
        <w:tc>
          <w:tcPr>
            <w:tcW w:w="612" w:type="pct"/>
            <w:shd w:val="clear" w:color="auto" w:fill="auto"/>
          </w:tcPr>
          <w:p w14:paraId="306A2E85"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0,094</w:t>
            </w:r>
          </w:p>
          <w:p w14:paraId="74877CF4"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tc>
      </w:tr>
      <w:tr w:rsidR="009B1274" w:rsidRPr="000318CE" w14:paraId="0F390B03" w14:textId="77777777" w:rsidTr="00AF7EC3">
        <w:tc>
          <w:tcPr>
            <w:tcW w:w="295" w:type="pct"/>
            <w:shd w:val="clear" w:color="auto" w:fill="auto"/>
          </w:tcPr>
          <w:p w14:paraId="5FCB842D"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7.</w:t>
            </w:r>
          </w:p>
        </w:tc>
        <w:tc>
          <w:tcPr>
            <w:tcW w:w="1585" w:type="pct"/>
            <w:shd w:val="clear" w:color="auto" w:fill="auto"/>
          </w:tcPr>
          <w:p w14:paraId="1D9AAEE2"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Operare a sistemului de distribuția gazelor naturale, inclusiv sistemul de distribuție închis</w:t>
            </w:r>
          </w:p>
        </w:tc>
        <w:tc>
          <w:tcPr>
            <w:tcW w:w="2130" w:type="pct"/>
            <w:shd w:val="clear" w:color="auto" w:fill="auto"/>
          </w:tcPr>
          <w:p w14:paraId="5233C33B"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p w14:paraId="26D591F1"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Cantitatea de gaze naturale distribuită                         </w:t>
            </w:r>
          </w:p>
        </w:tc>
        <w:tc>
          <w:tcPr>
            <w:tcW w:w="378" w:type="pct"/>
            <w:shd w:val="clear" w:color="auto" w:fill="auto"/>
          </w:tcPr>
          <w:p w14:paraId="6A4C866B"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p w14:paraId="14CD95BC"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MWh</w:t>
            </w:r>
          </w:p>
        </w:tc>
        <w:tc>
          <w:tcPr>
            <w:tcW w:w="612" w:type="pct"/>
            <w:shd w:val="clear" w:color="auto" w:fill="auto"/>
          </w:tcPr>
          <w:p w14:paraId="2DF5FF20"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p w14:paraId="51494072"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0,086</w:t>
            </w:r>
          </w:p>
          <w:p w14:paraId="023A3CBF"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tc>
      </w:tr>
      <w:tr w:rsidR="009B1274" w:rsidRPr="000318CE" w14:paraId="128F4B6A" w14:textId="77777777" w:rsidTr="00AF7EC3">
        <w:tc>
          <w:tcPr>
            <w:tcW w:w="295" w:type="pct"/>
            <w:shd w:val="clear" w:color="auto" w:fill="auto"/>
          </w:tcPr>
          <w:p w14:paraId="1A68183C"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8.</w:t>
            </w:r>
          </w:p>
        </w:tc>
        <w:tc>
          <w:tcPr>
            <w:tcW w:w="1585" w:type="pct"/>
            <w:shd w:val="clear" w:color="auto" w:fill="auto"/>
          </w:tcPr>
          <w:p w14:paraId="26766B5F"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Operarea  conductelor de alimentare din amonte  </w:t>
            </w:r>
          </w:p>
        </w:tc>
        <w:tc>
          <w:tcPr>
            <w:tcW w:w="2130" w:type="pct"/>
            <w:shd w:val="clear" w:color="auto" w:fill="auto"/>
          </w:tcPr>
          <w:p w14:paraId="2801F07B"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Cantitate de gaze naturale transportată prin conductele de alimentare din amonte către clienții finali și sistemele de distribuție a gazelor naturale, conectați/conectate direct la conductele  de alimentare din amonte                                 </w:t>
            </w:r>
          </w:p>
        </w:tc>
        <w:tc>
          <w:tcPr>
            <w:tcW w:w="378" w:type="pct"/>
            <w:shd w:val="clear" w:color="auto" w:fill="auto"/>
          </w:tcPr>
          <w:p w14:paraId="6D7377C5"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p w14:paraId="01C6BFA6"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MWh</w:t>
            </w:r>
          </w:p>
        </w:tc>
        <w:tc>
          <w:tcPr>
            <w:tcW w:w="612" w:type="pct"/>
            <w:shd w:val="clear" w:color="auto" w:fill="auto"/>
          </w:tcPr>
          <w:p w14:paraId="40B2F92E"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p w14:paraId="2D0E2432"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0,031</w:t>
            </w:r>
          </w:p>
        </w:tc>
      </w:tr>
      <w:tr w:rsidR="009B1274" w:rsidRPr="000318CE" w14:paraId="7E567F5E" w14:textId="77777777" w:rsidTr="00AF7EC3">
        <w:tc>
          <w:tcPr>
            <w:tcW w:w="295" w:type="pct"/>
            <w:shd w:val="clear" w:color="auto" w:fill="auto"/>
          </w:tcPr>
          <w:p w14:paraId="1E4CCC4B" w14:textId="77777777" w:rsidR="009B1274" w:rsidRPr="000318CE" w:rsidRDefault="009B1274" w:rsidP="00AF7EC3">
            <w:pPr>
              <w:autoSpaceDE w:val="0"/>
              <w:autoSpaceDN w:val="0"/>
              <w:spacing w:after="0" w:line="240" w:lineRule="auto"/>
              <w:jc w:val="center"/>
              <w:rPr>
                <w:rFonts w:ascii="Arial" w:eastAsia="Verdana" w:hAnsi="Arial" w:cs="Arial"/>
                <w:sz w:val="24"/>
                <w:szCs w:val="24"/>
                <w:lang w:val="ro-RO" w:eastAsia="ro-RO"/>
              </w:rPr>
            </w:pPr>
            <w:r w:rsidRPr="000318CE">
              <w:rPr>
                <w:rFonts w:ascii="Arial" w:eastAsia="Verdana" w:hAnsi="Arial" w:cs="Arial"/>
                <w:sz w:val="24"/>
                <w:szCs w:val="24"/>
                <w:lang w:val="ro-RO" w:eastAsia="ro-RO"/>
              </w:rPr>
              <w:t>9.</w:t>
            </w:r>
          </w:p>
        </w:tc>
        <w:tc>
          <w:tcPr>
            <w:tcW w:w="1585" w:type="pct"/>
            <w:shd w:val="clear" w:color="auto" w:fill="auto"/>
          </w:tcPr>
          <w:p w14:paraId="03462839" w14:textId="77777777" w:rsidR="009B1274" w:rsidRPr="000318CE" w:rsidRDefault="009B1274" w:rsidP="00AF7EC3">
            <w:pPr>
              <w:shd w:val="clear" w:color="auto" w:fill="FFFFFF"/>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Exploatare comercială a instalațiilor de producere a hidrogenului</w:t>
            </w:r>
          </w:p>
          <w:p w14:paraId="3581D76B"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p>
        </w:tc>
        <w:tc>
          <w:tcPr>
            <w:tcW w:w="2130" w:type="pct"/>
            <w:shd w:val="clear" w:color="auto" w:fill="auto"/>
          </w:tcPr>
          <w:p w14:paraId="5131ED01"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Times New Roman" w:hAnsi="Arial" w:cs="Arial"/>
                <w:color w:val="000000"/>
                <w:sz w:val="24"/>
                <w:szCs w:val="24"/>
                <w:shd w:val="clear" w:color="auto" w:fill="FFFFFF"/>
                <w:lang w:val="ro-RO" w:eastAsia="ro-RO"/>
              </w:rPr>
              <w:lastRenderedPageBreak/>
              <w:t xml:space="preserve">Cantitatea de hidrogen produsă </w:t>
            </w:r>
          </w:p>
        </w:tc>
        <w:tc>
          <w:tcPr>
            <w:tcW w:w="378" w:type="pct"/>
            <w:shd w:val="clear" w:color="auto" w:fill="auto"/>
          </w:tcPr>
          <w:p w14:paraId="035E14A3"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MWh</w:t>
            </w:r>
          </w:p>
        </w:tc>
        <w:tc>
          <w:tcPr>
            <w:tcW w:w="612" w:type="pct"/>
            <w:shd w:val="clear" w:color="auto" w:fill="auto"/>
          </w:tcPr>
          <w:p w14:paraId="4B4A5973" w14:textId="77777777" w:rsidR="009B1274" w:rsidRPr="000318CE" w:rsidRDefault="009B1274" w:rsidP="00AF7EC3">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0,056</w:t>
            </w:r>
          </w:p>
        </w:tc>
      </w:tr>
    </w:tbl>
    <w:p w14:paraId="57613D3F"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w:t>
      </w:r>
    </w:p>
    <w:p w14:paraId="48777CB8"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1. Contribuția bănească</w:t>
      </w:r>
      <w:r w:rsidRPr="000318CE">
        <w:rPr>
          <w:rFonts w:ascii="Arial" w:eastAsia="Verdana" w:hAnsi="Arial" w:cs="Arial"/>
          <w:b/>
          <w:sz w:val="24"/>
          <w:szCs w:val="24"/>
          <w:lang w:eastAsia="ro-RO"/>
        </w:rPr>
        <w:t xml:space="preserve"> </w:t>
      </w:r>
      <w:r w:rsidRPr="000318CE">
        <w:rPr>
          <w:rFonts w:ascii="Arial" w:eastAsia="Verdana" w:hAnsi="Arial" w:cs="Arial"/>
          <w:sz w:val="24"/>
          <w:szCs w:val="24"/>
          <w:lang w:eastAsia="ro-RO"/>
        </w:rPr>
        <w:t xml:space="preserve">prevăzută în tabelul nr. 1 se datorează inclusiv pentru deciziile de confirmare a sistemului de distribuţie închis și pentru deciziile de confirmare a dreptului de participare la piețele de gaze naturale din România prevăzute în </w:t>
      </w:r>
      <w:r w:rsidRPr="000318CE">
        <w:rPr>
          <w:rFonts w:ascii="Arial" w:eastAsia="Verdana" w:hAnsi="Arial" w:cs="Arial"/>
          <w:vanish/>
          <w:sz w:val="24"/>
          <w:szCs w:val="24"/>
          <w:lang w:eastAsia="ro-RO"/>
        </w:rPr>
        <w:t>&lt;LLNK 12013     0122-4H1   0 12&gt;</w:t>
      </w:r>
      <w:r w:rsidRPr="000318CE">
        <w:rPr>
          <w:rFonts w:ascii="Arial" w:eastAsia="Verdana" w:hAnsi="Arial" w:cs="Arial"/>
          <w:sz w:val="24"/>
          <w:szCs w:val="24"/>
          <w:lang w:eastAsia="ro-RO"/>
        </w:rPr>
        <w:t xml:space="preserve">Regulamentul pentru acordarea autorizațiilor de înființare și a licențelor în sectorul gazelor naturale, aprobat prin </w:t>
      </w:r>
      <w:r w:rsidRPr="000318CE">
        <w:rPr>
          <w:rFonts w:ascii="Arial" w:eastAsia="Verdana" w:hAnsi="Arial" w:cs="Arial"/>
          <w:vanish/>
          <w:sz w:val="24"/>
          <w:szCs w:val="24"/>
          <w:lang w:eastAsia="ro-RO"/>
        </w:rPr>
        <w:t>&lt;LLNK 12013    34 52-431   0 92&gt;</w:t>
      </w:r>
      <w:r w:rsidRPr="000318CE">
        <w:rPr>
          <w:rFonts w:ascii="Arial" w:eastAsia="Verdana" w:hAnsi="Arial" w:cs="Arial"/>
          <w:sz w:val="24"/>
          <w:szCs w:val="24"/>
          <w:lang w:eastAsia="ro-RO"/>
        </w:rPr>
        <w:t>Ordinul președintelui Autorității Naționale de Reglementare în Domeniul Energiei nr. 199/2020, cu modificările ulterioare, și nu poate fi mai mică de 3.125 lei.</w:t>
      </w:r>
    </w:p>
    <w:p w14:paraId="2AF868BA"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2. Titularii licențelor acordate de către Autoritatea Națională de Reglementare în Domeniul Energiei pentru desfășurarea activității de administrare a piețelor centralizate de gaze naturale și pentru operarea terminalului GNL plătesc anual Autorității Naționale de Reglementare în Domeniul Energiei o contribuție bănească. Autoritatea Națională de Reglementare în Domeniul Energiei facturează contribuția ce se percepe de la fiecare titular de licență la valoarea de 0,1% din cifra de afaceri realizată de acesta în anul precedent din activitatea ce face obiectul </w:t>
      </w:r>
      <w:r w:rsidRPr="000318CE">
        <w:rPr>
          <w:rFonts w:ascii="Arial" w:eastAsia="Times New Roman" w:hAnsi="Arial" w:cs="Arial"/>
          <w:sz w:val="24"/>
          <w:szCs w:val="24"/>
          <w:shd w:val="clear" w:color="auto" w:fill="FFFFFF"/>
          <w:lang w:val="en-GB" w:eastAsia="en-GB"/>
        </w:rPr>
        <w:t>licenței în cauză sau la valoarea minimă de 3.125 lei</w:t>
      </w:r>
      <w:r w:rsidRPr="000318CE">
        <w:rPr>
          <w:rFonts w:ascii="Arial" w:eastAsia="Verdana" w:hAnsi="Arial" w:cs="Arial"/>
          <w:sz w:val="24"/>
          <w:szCs w:val="24"/>
          <w:lang w:eastAsia="ro-RO"/>
        </w:rPr>
        <w:t>, dacă rezultatul calculului efectuat este inferior acesteia.</w:t>
      </w:r>
    </w:p>
    <w:p w14:paraId="16D65ECC"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3. a) În cazul oricărei persoane fizice sau juridice care desfășoară activitate pe bază de  licență sau de decizie de confirmare a sistemului de distribuţie închis acordată de către Autoritatea Națională de Reglementare în Domeniul Energiei </w:t>
      </w:r>
      <w:r w:rsidRPr="000318CE">
        <w:rPr>
          <w:rFonts w:ascii="Arial" w:eastAsia="Verdana" w:hAnsi="Arial" w:cs="Arial"/>
          <w:sz w:val="24"/>
          <w:szCs w:val="24"/>
          <w:lang w:val="ro-RO" w:eastAsia="ro-RO"/>
        </w:rPr>
        <w:t>sau pe bază de</w:t>
      </w:r>
      <w:r w:rsidRPr="000318CE">
        <w:rPr>
          <w:rFonts w:ascii="Arial" w:eastAsia="Verdana" w:hAnsi="Arial" w:cs="Arial"/>
          <w:sz w:val="24"/>
          <w:szCs w:val="24"/>
          <w:lang w:eastAsia="ro-RO"/>
        </w:rPr>
        <w:t xml:space="preserve"> drept de participare la pieţele de gaze naturale din România confirmat de Autoritatea Națională de Reglementare în Domeniul Energiei, dacă anul 2023 este anul de expirare a valabilității sau de retragere a licenței/</w:t>
      </w:r>
      <w:r w:rsidRPr="000318CE">
        <w:rPr>
          <w:rFonts w:ascii="Arial" w:eastAsia="Times New Roman" w:hAnsi="Arial" w:cs="Arial"/>
          <w:sz w:val="24"/>
          <w:szCs w:val="24"/>
          <w:shd w:val="clear" w:color="auto" w:fill="FFFFFF"/>
          <w:lang w:val="ro-RO" w:eastAsia="en-GB"/>
        </w:rPr>
        <w:t>deciziei de confirmare a sistemului de distribuţie închis,</w:t>
      </w:r>
      <w:r w:rsidRPr="000318CE">
        <w:rPr>
          <w:rFonts w:ascii="Arial" w:eastAsia="Verdana" w:hAnsi="Arial" w:cs="Arial"/>
          <w:sz w:val="24"/>
          <w:szCs w:val="24"/>
          <w:lang w:eastAsia="ro-RO"/>
        </w:rPr>
        <w:t xml:space="preserve"> respectiv a dreptului confirmat de Autoritatea Națională de Reglementare în Domeniul Energiei de participare la pieţele de gaze naturale din România, Autoritatea Națională de Reglementare în Domeniul Energiei facturează operatorului economic contribuția a cărei valoare se determină în conformitate cu prevederile pct. 1 și 2 și se ponderează cu raportul dintre durata de valabilitate a licenței în anul 2023, exprimată în zile calendaristice, și numărul de zile ale anului calendaristic (365), dar nu poate fi mică  de 3.125 lei.</w:t>
      </w:r>
    </w:p>
    <w:p w14:paraId="38FF6691"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b) Prevederile lit. a) sunt aplicabile în situațiile în care valabilitatea licenței/</w:t>
      </w:r>
      <w:r w:rsidRPr="000318CE">
        <w:rPr>
          <w:rFonts w:ascii="Arial" w:eastAsia="Times New Roman" w:hAnsi="Arial" w:cs="Arial"/>
          <w:sz w:val="24"/>
          <w:szCs w:val="24"/>
          <w:shd w:val="clear" w:color="auto" w:fill="FFFFFF"/>
          <w:lang w:val="ro-RO" w:eastAsia="en-GB"/>
        </w:rPr>
        <w:t>deciziei de confirmare a sistemului de distribuţie închis,</w:t>
      </w:r>
      <w:r w:rsidRPr="000318CE">
        <w:rPr>
          <w:rFonts w:ascii="Arial" w:eastAsia="Verdana" w:hAnsi="Arial" w:cs="Arial"/>
          <w:sz w:val="24"/>
          <w:szCs w:val="24"/>
          <w:lang w:eastAsia="ro-RO"/>
        </w:rPr>
        <w:t xml:space="preserve"> respectiv a dreptului confirmat de Autoritatea Națională de Reglementare în Domeniul Energiei de participare la pieţele de gaze naturale din România, expiră în anul 2023, dacă nu se solicită sau nu se aprobă modificarea acelei licențe, în scopul de a se prelungi valabilitatea acesteia cel puțin până la un termen din anul următor, </w:t>
      </w:r>
      <w:r w:rsidRPr="000318CE">
        <w:rPr>
          <w:rFonts w:ascii="Arial" w:eastAsia="Times New Roman" w:hAnsi="Arial" w:cs="Arial"/>
          <w:sz w:val="24"/>
          <w:szCs w:val="24"/>
          <w:shd w:val="clear" w:color="auto" w:fill="FFFFFF"/>
          <w:lang w:val="en-GB" w:eastAsia="en-GB"/>
        </w:rPr>
        <w:t xml:space="preserve">precum și dacă nu se acordă o nouă </w:t>
      </w:r>
      <w:r w:rsidRPr="000318CE">
        <w:rPr>
          <w:rFonts w:ascii="Arial" w:eastAsia="Verdana" w:hAnsi="Arial" w:cs="Arial"/>
          <w:sz w:val="24"/>
          <w:szCs w:val="24"/>
          <w:lang w:eastAsia="ro-RO"/>
        </w:rPr>
        <w:t>licență/</w:t>
      </w:r>
      <w:r w:rsidRPr="000318CE">
        <w:rPr>
          <w:rFonts w:ascii="Arial" w:eastAsia="Times New Roman" w:hAnsi="Arial" w:cs="Arial"/>
          <w:sz w:val="24"/>
          <w:szCs w:val="24"/>
          <w:shd w:val="clear" w:color="auto" w:fill="FFFFFF"/>
          <w:lang w:val="ro-RO" w:eastAsia="en-GB"/>
        </w:rPr>
        <w:t>decizie de confirmare a sistemului de distribuţie închis,</w:t>
      </w:r>
      <w:r w:rsidRPr="000318CE">
        <w:rPr>
          <w:rFonts w:ascii="Arial" w:eastAsia="Verdana" w:hAnsi="Arial" w:cs="Arial"/>
          <w:sz w:val="24"/>
          <w:szCs w:val="24"/>
          <w:lang w:eastAsia="ro-RO"/>
        </w:rPr>
        <w:t xml:space="preserve"> respectiv drept confirmat de Autoritatea Națională de Reglementare în Domeniul Energiei de participare la pieţele de gaze naturale din România, </w:t>
      </w:r>
      <w:r w:rsidRPr="000318CE">
        <w:rPr>
          <w:rFonts w:ascii="Arial" w:eastAsia="Times New Roman" w:hAnsi="Arial" w:cs="Arial"/>
          <w:sz w:val="24"/>
          <w:szCs w:val="24"/>
          <w:shd w:val="clear" w:color="auto" w:fill="FFFFFF"/>
          <w:lang w:val="en-GB" w:eastAsia="en-GB"/>
        </w:rPr>
        <w:t xml:space="preserve"> pentru același tip de activitate.</w:t>
      </w:r>
    </w:p>
    <w:p w14:paraId="390E93D4"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4. a)Titularii de licențe/</w:t>
      </w:r>
      <w:r w:rsidRPr="000318CE">
        <w:rPr>
          <w:rFonts w:ascii="Arial" w:eastAsia="Verdana" w:hAnsi="Arial" w:cs="Arial"/>
          <w:sz w:val="20"/>
          <w:szCs w:val="20"/>
          <w:lang w:val="ro-RO" w:eastAsia="ro-RO"/>
        </w:rPr>
        <w:t xml:space="preserve"> </w:t>
      </w:r>
      <w:r w:rsidRPr="000318CE">
        <w:rPr>
          <w:rFonts w:ascii="Arial" w:eastAsia="Verdana" w:hAnsi="Arial" w:cs="Arial"/>
          <w:sz w:val="24"/>
          <w:szCs w:val="24"/>
          <w:lang w:eastAsia="ro-RO"/>
        </w:rPr>
        <w:t>decizii de confirmare a sistemului de distribuţie închis /titularii confirmărilor privind dreptul de participare la pieţele de gaze naturale din România acordate de Autoritatea Națională de Reglementare în Domeniul Energiei</w:t>
      </w:r>
      <w:r w:rsidRPr="000318CE" w:rsidDel="00FB214E">
        <w:rPr>
          <w:rFonts w:ascii="Arial" w:eastAsia="Verdana" w:hAnsi="Arial" w:cs="Arial"/>
          <w:sz w:val="24"/>
          <w:szCs w:val="24"/>
          <w:lang w:eastAsia="ro-RO"/>
        </w:rPr>
        <w:t xml:space="preserve"> </w:t>
      </w:r>
      <w:r w:rsidRPr="000318CE">
        <w:rPr>
          <w:rFonts w:ascii="Arial" w:eastAsia="Verdana" w:hAnsi="Arial" w:cs="Arial"/>
          <w:sz w:val="24"/>
          <w:szCs w:val="24"/>
          <w:lang w:eastAsia="ro-RO"/>
        </w:rPr>
        <w:t xml:space="preserve">prevăzute în Regulamentul pentru acordarea autorizațiilor de înființare și a licențelor în sectorul gazelor naturale, aprobat prin Ordinul președintelui Autorității Naționale de Reglementare în Domeniul Energiei nr.199/2020, cu modificările ulterioare, vor transmite Autorității Naționale de Reglementare în Domeniul Energie, până la sfârșitul lunii februarie 2023, declarația privind cifra de afaceri estimată pentru anul 2022/cantitatea de gaze </w:t>
      </w:r>
      <w:r w:rsidRPr="000318CE">
        <w:rPr>
          <w:rFonts w:ascii="Arial" w:eastAsia="Verdana" w:hAnsi="Arial" w:cs="Arial"/>
          <w:sz w:val="24"/>
          <w:szCs w:val="24"/>
          <w:lang w:eastAsia="ro-RO"/>
        </w:rPr>
        <w:lastRenderedPageBreak/>
        <w:t>naturale/biogaz/biometan/hidrogen/GNL estimată pentru anul 2023 din desfășurarea activităților desfășurate pe bază de  licență/</w:t>
      </w:r>
      <w:r w:rsidRPr="000318CE">
        <w:rPr>
          <w:rFonts w:ascii="Arial" w:eastAsia="Times New Roman" w:hAnsi="Arial" w:cs="Arial"/>
          <w:sz w:val="24"/>
          <w:szCs w:val="24"/>
          <w:shd w:val="clear" w:color="auto" w:fill="FFFFFF"/>
          <w:lang w:val="ro-RO" w:eastAsia="en-GB"/>
        </w:rPr>
        <w:t>decizie de confirmare a sistemului de distribuţie închis,</w:t>
      </w:r>
      <w:r w:rsidRPr="000318CE">
        <w:rPr>
          <w:rFonts w:ascii="Arial" w:eastAsia="Verdana" w:hAnsi="Arial" w:cs="Arial"/>
          <w:sz w:val="24"/>
          <w:szCs w:val="24"/>
          <w:lang w:eastAsia="ro-RO"/>
        </w:rPr>
        <w:t xml:space="preserve"> respectiv drept confirmat de Autoritatea Națională de Reglementare în Domeniul Energiei de participare la pieţele de gaze naturale din România, semnată de reprezentantul legal al solicitantului sau de o persoană  împuternicită de acesta:</w:t>
      </w:r>
    </w:p>
    <w:p w14:paraId="7F4A0CF8" w14:textId="77777777" w:rsidR="009B1274" w:rsidRPr="000318CE" w:rsidRDefault="009B1274" w:rsidP="009B1274">
      <w:pPr>
        <w:autoSpaceDE w:val="0"/>
        <w:autoSpaceDN w:val="0"/>
        <w:spacing w:after="0" w:line="240" w:lineRule="auto"/>
        <w:jc w:val="both"/>
        <w:rPr>
          <w:rFonts w:ascii="Arial" w:eastAsia="Verdana" w:hAnsi="Arial" w:cs="Arial"/>
          <w:strike/>
          <w:color w:val="FF0000"/>
          <w:sz w:val="24"/>
          <w:szCs w:val="24"/>
          <w:lang w:eastAsia="ro-RO"/>
        </w:rPr>
      </w:pPr>
      <w:r w:rsidRPr="000318CE">
        <w:rPr>
          <w:rFonts w:ascii="Arial" w:eastAsia="Verdana" w:hAnsi="Arial" w:cs="Arial"/>
          <w:sz w:val="24"/>
          <w:szCs w:val="24"/>
          <w:lang w:eastAsia="ro-RO"/>
        </w:rPr>
        <w:t xml:space="preserve"> b) Pentru operatorii economici, titulari de licențe, de decizii de confirmare a sistemului de distribuţie închis, precum și cei care au dreptul confirmat de Autoritatea Națională de Reglementare în Domeniul Energiei de participare la pieţele de gaze naturale din România, care nu </w:t>
      </w:r>
      <w:proofErr w:type="gramStart"/>
      <w:r w:rsidRPr="000318CE">
        <w:rPr>
          <w:rFonts w:ascii="Arial" w:eastAsia="Verdana" w:hAnsi="Arial" w:cs="Arial"/>
          <w:sz w:val="24"/>
          <w:szCs w:val="24"/>
          <w:lang w:eastAsia="ro-RO"/>
        </w:rPr>
        <w:t>transmit</w:t>
      </w:r>
      <w:proofErr w:type="gramEnd"/>
      <w:r w:rsidRPr="000318CE">
        <w:rPr>
          <w:rFonts w:ascii="Arial" w:eastAsia="Verdana" w:hAnsi="Arial" w:cs="Arial"/>
          <w:sz w:val="24"/>
          <w:szCs w:val="24"/>
          <w:lang w:eastAsia="ro-RO"/>
        </w:rPr>
        <w:t xml:space="preserve"> valoarea cifrei de afaceri/cantitatea estimată, specificate, până la termenul precizat mai sus, contribuția bănească se calculează, după caz, pe baza: </w:t>
      </w:r>
    </w:p>
    <w:p w14:paraId="56E087F2" w14:textId="77777777" w:rsidR="009B1274" w:rsidRPr="000318CE" w:rsidRDefault="009B1274" w:rsidP="009B1274">
      <w:pPr>
        <w:numPr>
          <w:ilvl w:val="0"/>
          <w:numId w:val="2"/>
        </w:numPr>
        <w:autoSpaceDE w:val="0"/>
        <w:autoSpaceDN w:val="0"/>
        <w:spacing w:after="0" w:line="240" w:lineRule="auto"/>
        <w:contextualSpacing/>
        <w:jc w:val="both"/>
        <w:rPr>
          <w:rFonts w:ascii="Arial" w:eastAsia="Times New Roman" w:hAnsi="Arial" w:cs="Arial"/>
          <w:color w:val="000000"/>
          <w:sz w:val="24"/>
          <w:szCs w:val="24"/>
          <w:shd w:val="clear" w:color="auto" w:fill="FFFFFF"/>
          <w:lang w:val="en-GB" w:eastAsia="en-GB"/>
        </w:rPr>
      </w:pPr>
      <w:r w:rsidRPr="000318CE">
        <w:rPr>
          <w:rFonts w:ascii="Arial" w:eastAsia="Times New Roman" w:hAnsi="Arial" w:cs="Arial"/>
          <w:color w:val="000000"/>
          <w:sz w:val="24"/>
          <w:szCs w:val="24"/>
          <w:shd w:val="clear" w:color="auto" w:fill="FFFFFF"/>
          <w:lang w:val="en-GB" w:eastAsia="en-GB"/>
        </w:rPr>
        <w:t xml:space="preserve">ultimei cifre de afaceri realizate declarate de titularul de licenţă la Autoritatea Naţională de Reglementare în Domeniul Energiei, </w:t>
      </w:r>
    </w:p>
    <w:p w14:paraId="7ECC2082" w14:textId="77777777" w:rsidR="009B1274" w:rsidRPr="000318CE" w:rsidRDefault="009B1274" w:rsidP="009B1274">
      <w:pPr>
        <w:numPr>
          <w:ilvl w:val="0"/>
          <w:numId w:val="1"/>
        </w:numPr>
        <w:autoSpaceDE w:val="0"/>
        <w:autoSpaceDN w:val="0"/>
        <w:spacing w:after="0" w:line="240" w:lineRule="auto"/>
        <w:contextualSpacing/>
        <w:jc w:val="both"/>
        <w:rPr>
          <w:rFonts w:ascii="Arial" w:eastAsia="Times New Roman" w:hAnsi="Arial" w:cs="Arial"/>
          <w:color w:val="000000"/>
          <w:sz w:val="24"/>
          <w:szCs w:val="24"/>
          <w:shd w:val="clear" w:color="auto" w:fill="FFFFFF"/>
          <w:lang w:val="en-GB" w:eastAsia="en-GB"/>
        </w:rPr>
      </w:pPr>
      <w:r w:rsidRPr="000318CE">
        <w:rPr>
          <w:rFonts w:ascii="Arial" w:eastAsia="Times New Roman" w:hAnsi="Arial" w:cs="Arial"/>
          <w:sz w:val="24"/>
          <w:szCs w:val="24"/>
          <w:shd w:val="clear" w:color="auto" w:fill="FFFFFF"/>
          <w:lang w:val="en-GB" w:eastAsia="en-GB"/>
        </w:rPr>
        <w:t xml:space="preserve">cantității de gaze naturale estimate pentru anul 2023 având în vedere datele deţinute de Autoritatea Naţională de Reglementare în Domeniul Energiei ca urmare a monitorizării pieţei de gaze naturale. Cantitatea de biogaz/biometan/hidrogen/GNL se stabileşte de Autoritatea Naţională de Reglementare în Domeniul Energiei pe baza ultimelor cantităţi declarate de titularii de licenţe la Autoritatea Naţională de Reglementare în Domeniul Energiei, precum şi </w:t>
      </w:r>
      <w:proofErr w:type="gramStart"/>
      <w:r w:rsidRPr="000318CE">
        <w:rPr>
          <w:rFonts w:ascii="Arial" w:eastAsia="Times New Roman" w:hAnsi="Arial" w:cs="Arial"/>
          <w:sz w:val="24"/>
          <w:szCs w:val="24"/>
          <w:shd w:val="clear" w:color="auto" w:fill="FFFFFF"/>
          <w:lang w:val="en-GB" w:eastAsia="en-GB"/>
        </w:rPr>
        <w:t>a</w:t>
      </w:r>
      <w:proofErr w:type="gramEnd"/>
      <w:r w:rsidRPr="000318CE">
        <w:rPr>
          <w:rFonts w:ascii="Arial" w:eastAsia="Times New Roman" w:hAnsi="Arial" w:cs="Arial"/>
          <w:sz w:val="24"/>
          <w:szCs w:val="24"/>
          <w:shd w:val="clear" w:color="auto" w:fill="FFFFFF"/>
          <w:lang w:val="en-GB" w:eastAsia="en-GB"/>
        </w:rPr>
        <w:t xml:space="preserve"> altor date relevante</w:t>
      </w:r>
      <w:r w:rsidRPr="000318CE">
        <w:rPr>
          <w:rFonts w:ascii="Arial" w:eastAsia="Times New Roman" w:hAnsi="Arial" w:cs="Arial"/>
          <w:sz w:val="24"/>
          <w:szCs w:val="24"/>
          <w:shd w:val="clear" w:color="auto" w:fill="FFFFFF"/>
          <w:lang w:val="ro-RO" w:eastAsia="en-GB"/>
        </w:rPr>
        <w:t>;</w:t>
      </w:r>
    </w:p>
    <w:p w14:paraId="78081402" w14:textId="77777777" w:rsidR="009B1274" w:rsidRPr="000318CE" w:rsidRDefault="009B1274" w:rsidP="009B1274">
      <w:pPr>
        <w:autoSpaceDE w:val="0"/>
        <w:autoSpaceDN w:val="0"/>
        <w:spacing w:after="0" w:line="240" w:lineRule="auto"/>
        <w:ind w:left="225"/>
        <w:jc w:val="both"/>
        <w:rPr>
          <w:rFonts w:ascii="Arial" w:eastAsia="Times New Roman" w:hAnsi="Arial" w:cs="Arial"/>
          <w:color w:val="000000"/>
          <w:sz w:val="24"/>
          <w:szCs w:val="24"/>
          <w:shd w:val="clear" w:color="auto" w:fill="FFFFFF"/>
          <w:lang w:val="ro-RO" w:eastAsia="en-GB"/>
        </w:rPr>
      </w:pPr>
      <w:r w:rsidRPr="000318CE">
        <w:rPr>
          <w:rFonts w:ascii="Arial" w:eastAsia="Times New Roman" w:hAnsi="Arial" w:cs="Arial"/>
          <w:color w:val="000000"/>
          <w:sz w:val="24"/>
          <w:szCs w:val="24"/>
          <w:shd w:val="clear" w:color="auto" w:fill="FFFFFF"/>
          <w:lang w:val="ro-RO" w:eastAsia="en-GB"/>
        </w:rPr>
        <w:t xml:space="preserve">c) Valoarea contribuției bănesti anuale nu poate fi mai mică de 3125 lei, în situația în care </w:t>
      </w:r>
      <w:r w:rsidRPr="000318CE">
        <w:rPr>
          <w:rFonts w:ascii="Arial" w:eastAsia="Verdana" w:hAnsi="Arial" w:cs="Arial"/>
          <w:sz w:val="24"/>
          <w:szCs w:val="24"/>
          <w:lang w:eastAsia="ro-RO"/>
        </w:rPr>
        <w:t xml:space="preserve">rezultatul calculului efectuat </w:t>
      </w:r>
      <w:r w:rsidRPr="000318CE">
        <w:rPr>
          <w:rFonts w:ascii="Arial" w:eastAsia="Times New Roman" w:hAnsi="Arial" w:cs="Arial"/>
          <w:color w:val="000000"/>
          <w:sz w:val="24"/>
          <w:szCs w:val="24"/>
          <w:shd w:val="clear" w:color="auto" w:fill="FFFFFF"/>
          <w:lang w:val="ro-RO" w:eastAsia="en-GB"/>
        </w:rPr>
        <w:t xml:space="preserve">cu luarea în calcul și a prevederilor de la lit. b) </w:t>
      </w:r>
      <w:r w:rsidRPr="000318CE">
        <w:rPr>
          <w:rFonts w:ascii="Arial" w:eastAsia="Verdana" w:hAnsi="Arial" w:cs="Arial"/>
          <w:sz w:val="24"/>
          <w:szCs w:val="24"/>
          <w:lang w:eastAsia="ro-RO"/>
        </w:rPr>
        <w:t>este inferior acesteia</w:t>
      </w:r>
      <w:r w:rsidRPr="000318CE">
        <w:rPr>
          <w:rFonts w:ascii="Arial" w:eastAsia="Times New Roman" w:hAnsi="Arial" w:cs="Arial"/>
          <w:color w:val="000000"/>
          <w:sz w:val="24"/>
          <w:szCs w:val="24"/>
          <w:shd w:val="clear" w:color="auto" w:fill="FFFFFF"/>
          <w:lang w:val="ro-RO" w:eastAsia="en-GB"/>
        </w:rPr>
        <w:t xml:space="preserve">. </w:t>
      </w:r>
    </w:p>
    <w:p w14:paraId="68F4896F"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5. Titularul de licență, de decizie de confirmare a sistemului de distribuţie închis și titularul confirmării privind dreptul de participare la pieţele de gaze naturale din România acordate de Autoritatea Națională de Reglementare în Domeniul Energiei care în cursul anului 2023 preia integral activitatea desfășurată pe baza unei licențe</w:t>
      </w:r>
      <w:r w:rsidRPr="000318CE">
        <w:rPr>
          <w:rFonts w:ascii="Arial" w:eastAsia="Times New Roman" w:hAnsi="Arial" w:cs="Arial"/>
          <w:sz w:val="24"/>
          <w:szCs w:val="24"/>
          <w:shd w:val="clear" w:color="auto" w:fill="FFFFFF"/>
          <w:lang w:val="en-GB" w:eastAsia="en-GB"/>
        </w:rPr>
        <w:t>/decizii de confirmare</w:t>
      </w:r>
      <w:r w:rsidRPr="000318CE">
        <w:rPr>
          <w:rFonts w:ascii="Arial" w:eastAsia="Verdana" w:hAnsi="Arial" w:cs="Arial"/>
          <w:sz w:val="24"/>
          <w:szCs w:val="24"/>
          <w:lang w:eastAsia="ro-RO"/>
        </w:rPr>
        <w:t xml:space="preserve"> de același tip de către o altă persoană fizică sau juridică va transmite declarația privind valoarea cifrei de afaceri estimate/ realizate în anul 2022, respectiv cantitatea de gaze naturale / biogaz/ biometan/ hidrogen/GNL estimate pentru anul 2023 de către deținătorul anterior al licenței/</w:t>
      </w:r>
      <w:r w:rsidRPr="000318CE">
        <w:rPr>
          <w:rFonts w:ascii="Arial" w:eastAsia="Times New Roman" w:hAnsi="Arial" w:cs="Arial"/>
          <w:color w:val="000000"/>
          <w:sz w:val="24"/>
          <w:szCs w:val="24"/>
          <w:shd w:val="clear" w:color="auto" w:fill="FFFFFF"/>
          <w:lang w:val="en-GB" w:eastAsia="en-GB"/>
        </w:rPr>
        <w:t>deciziei de confirmare</w:t>
      </w:r>
      <w:r w:rsidRPr="000318CE">
        <w:rPr>
          <w:rFonts w:ascii="Arial" w:eastAsia="Verdana" w:hAnsi="Arial" w:cs="Arial"/>
          <w:sz w:val="24"/>
          <w:szCs w:val="24"/>
          <w:lang w:eastAsia="ro-RO"/>
        </w:rPr>
        <w:t xml:space="preserve"> și va asigura achitarea completă a valorii contribuției pentru anul 2023 ce îi revine titularului de licență/decizie de confirmare care își încetează activitatea.</w:t>
      </w:r>
    </w:p>
    <w:p w14:paraId="08495925" w14:textId="77777777" w:rsidR="009B1274" w:rsidRPr="000318CE" w:rsidRDefault="009B1274" w:rsidP="009B1274">
      <w:pPr>
        <w:autoSpaceDE w:val="0"/>
        <w:autoSpaceDN w:val="0"/>
        <w:spacing w:after="0" w:line="240" w:lineRule="auto"/>
        <w:jc w:val="both"/>
        <w:rPr>
          <w:rFonts w:ascii="Arial" w:eastAsia="Times New Roman" w:hAnsi="Arial" w:cs="Arial"/>
          <w:b/>
          <w:bCs/>
          <w:color w:val="C00000"/>
          <w:sz w:val="24"/>
          <w:szCs w:val="24"/>
          <w:shd w:val="clear" w:color="auto" w:fill="FFFFFF"/>
          <w:lang w:val="en-GB" w:eastAsia="en-GB"/>
        </w:rPr>
      </w:pPr>
      <w:r w:rsidRPr="000318CE">
        <w:rPr>
          <w:rFonts w:ascii="Arial" w:eastAsia="Verdana" w:hAnsi="Arial" w:cs="Arial"/>
          <w:sz w:val="24"/>
          <w:szCs w:val="24"/>
          <w:lang w:eastAsia="ro-RO"/>
        </w:rPr>
        <w:t xml:space="preserve">    6. Pentru titularii de licențe, de decizii de confirmare a sistemului de distribuţie închis și titularii confirmărilor privind dreptul de participare la pieţele de gaze naturale din România acordate de Autoritatea Națională de Reglementare în Domeniul Energiei a căror contribuție bănească are o valoare superioară nivelului de 3.125 lei, aceasta se achită în rate trimestriale egale; termenul de achitare a fiecăreia dintre aceste rate este sfârșitul primei luni a trimestrului respectiv, cu excepția primei rate care se achită potrivit termenului scadent înscris în factura emisă de Autoritatea Națională de Reglementare în Domeniul Energiei.</w:t>
      </w:r>
    </w:p>
    <w:p w14:paraId="00ED908D" w14:textId="77777777" w:rsidR="009B1274" w:rsidRPr="000318CE" w:rsidRDefault="009B1274" w:rsidP="009B1274">
      <w:pPr>
        <w:autoSpaceDE w:val="0"/>
        <w:autoSpaceDN w:val="0"/>
        <w:spacing w:after="0" w:line="240" w:lineRule="auto"/>
        <w:jc w:val="both"/>
        <w:rPr>
          <w:rFonts w:ascii="Arial" w:eastAsia="Times New Roman" w:hAnsi="Arial" w:cs="Arial"/>
          <w:sz w:val="24"/>
          <w:szCs w:val="24"/>
          <w:shd w:val="clear" w:color="auto" w:fill="FFFFFF"/>
          <w:lang w:val="en-GB" w:eastAsia="en-GB"/>
        </w:rPr>
      </w:pPr>
      <w:r w:rsidRPr="000318CE">
        <w:rPr>
          <w:rFonts w:ascii="Arial" w:eastAsia="Times New Roman" w:hAnsi="Arial" w:cs="Arial"/>
          <w:b/>
          <w:bCs/>
          <w:sz w:val="24"/>
          <w:szCs w:val="24"/>
          <w:shd w:val="clear" w:color="auto" w:fill="FFFFFF"/>
          <w:lang w:val="en-GB" w:eastAsia="en-GB"/>
        </w:rPr>
        <w:t>7.</w:t>
      </w:r>
      <w:r w:rsidRPr="000318CE">
        <w:rPr>
          <w:rFonts w:ascii="Arial" w:eastAsia="Times New Roman" w:hAnsi="Arial" w:cs="Arial"/>
          <w:sz w:val="24"/>
          <w:szCs w:val="24"/>
          <w:shd w:val="clear" w:color="auto" w:fill="FFFFFF"/>
          <w:lang w:val="en-GB" w:eastAsia="en-GB"/>
        </w:rPr>
        <w:t xml:space="preserve"> Regularizarea valorii contribuţiei băneşti constă în stabilirea diferenţei dintre valoarea contribuţiei facturate iniţial pe baza declaraţiei pe propria răspundere şi valoarea contribuţiei determinate pe baza cifrei de afaceri realizată/cantităţii realizate în anul precedent din activităţile comerciale desfăşurate în sectorul gazelor naturale.</w:t>
      </w:r>
    </w:p>
    <w:p w14:paraId="34CF15DD" w14:textId="77777777" w:rsidR="009B1274" w:rsidRPr="000318CE" w:rsidRDefault="009B1274" w:rsidP="009B1274">
      <w:pPr>
        <w:autoSpaceDE w:val="0"/>
        <w:autoSpaceDN w:val="0"/>
        <w:spacing w:after="0" w:line="240" w:lineRule="auto"/>
        <w:jc w:val="both"/>
        <w:rPr>
          <w:rFonts w:ascii="Arial" w:hAnsi="Arial" w:cs="Arial"/>
          <w:sz w:val="24"/>
          <w:szCs w:val="24"/>
          <w:lang w:val="ro-RO" w:eastAsia="ro-RO"/>
        </w:rPr>
      </w:pPr>
      <w:r w:rsidRPr="000318CE">
        <w:rPr>
          <w:rFonts w:ascii="Arial" w:eastAsia="Verdana" w:hAnsi="Arial" w:cs="Arial"/>
          <w:sz w:val="24"/>
          <w:szCs w:val="24"/>
          <w:lang w:eastAsia="ro-RO"/>
        </w:rPr>
        <w:t xml:space="preserve">    8. Regularizarea contribuției bănești percepute pentru anul 2023 de la titularii licențelor acordate de către Autoritatea Națională de Reglementare în Domeniul Energiei pentru </w:t>
      </w:r>
      <w:r w:rsidRPr="000318CE">
        <w:rPr>
          <w:rFonts w:ascii="Arial" w:eastAsia="Verdana" w:hAnsi="Arial" w:cs="Arial"/>
          <w:sz w:val="24"/>
          <w:szCs w:val="24"/>
          <w:lang w:eastAsia="ro-RO"/>
        </w:rPr>
        <w:lastRenderedPageBreak/>
        <w:t>desfășurarea activității de administrare a piețelor centralizate de gaze naturale</w:t>
      </w:r>
      <w:r w:rsidRPr="000318CE">
        <w:rPr>
          <w:rFonts w:ascii="Arial" w:eastAsia="Times New Roman" w:hAnsi="Arial" w:cs="Arial"/>
          <w:sz w:val="24"/>
          <w:szCs w:val="24"/>
          <w:shd w:val="clear" w:color="auto" w:fill="FFFFFF"/>
          <w:lang w:val="ro-RO" w:eastAsia="en-GB"/>
        </w:rPr>
        <w:t xml:space="preserve"> şi </w:t>
      </w:r>
      <w:proofErr w:type="gramStart"/>
      <w:r w:rsidRPr="000318CE">
        <w:rPr>
          <w:rFonts w:ascii="Arial" w:eastAsia="Times New Roman" w:hAnsi="Arial" w:cs="Arial"/>
          <w:color w:val="000000"/>
          <w:sz w:val="24"/>
          <w:szCs w:val="24"/>
          <w:shd w:val="clear" w:color="auto" w:fill="FFFFFF"/>
          <w:lang w:val="en-GB" w:eastAsia="en-GB"/>
        </w:rPr>
        <w:t>a</w:t>
      </w:r>
      <w:proofErr w:type="gramEnd"/>
      <w:r w:rsidRPr="000318CE">
        <w:rPr>
          <w:rFonts w:ascii="Arial" w:eastAsia="Times New Roman" w:hAnsi="Arial" w:cs="Arial"/>
          <w:color w:val="000000"/>
          <w:sz w:val="24"/>
          <w:szCs w:val="24"/>
          <w:shd w:val="clear" w:color="auto" w:fill="FFFFFF"/>
          <w:lang w:val="en-GB" w:eastAsia="en-GB"/>
        </w:rPr>
        <w:t xml:space="preserve"> activității de operare a terminalului GNL</w:t>
      </w:r>
      <w:r w:rsidRPr="000318CE">
        <w:rPr>
          <w:rFonts w:ascii="Arial" w:eastAsia="Verdana" w:hAnsi="Arial" w:cs="Arial"/>
          <w:sz w:val="24"/>
          <w:szCs w:val="24"/>
          <w:lang w:eastAsia="ro-RO"/>
        </w:rPr>
        <w:t xml:space="preserve"> se va realiza până la data de 31 decembrie 2023. </w:t>
      </w:r>
      <w:r w:rsidRPr="000318CE">
        <w:rPr>
          <w:rFonts w:ascii="Arial" w:eastAsia="Verdana" w:hAnsi="Arial" w:cs="Arial"/>
          <w:sz w:val="24"/>
          <w:szCs w:val="24"/>
          <w:lang w:val="ro-RO" w:eastAsia="ro-RO"/>
        </w:rPr>
        <w:t>În vederea regularizării contribuției bănești, titularii de licență vor transmite la ANRE, în termen de 5 zile de la data limită prevăzută de lege pentru depunerea situațiilor financiare anuale la autoritatea de administrare fiscală din Romania:</w:t>
      </w:r>
    </w:p>
    <w:p w14:paraId="07869250" w14:textId="77777777" w:rsidR="009B1274" w:rsidRPr="000318CE" w:rsidRDefault="009B1274" w:rsidP="009B1274">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a) declarația privind cifra de afaceri realizată în anul 2022 din activitățile licentiate; </w:t>
      </w:r>
    </w:p>
    <w:p w14:paraId="50A7A991" w14:textId="77777777" w:rsidR="009B1274" w:rsidRPr="000318CE" w:rsidRDefault="009B1274" w:rsidP="009B1274">
      <w:pPr>
        <w:autoSpaceDE w:val="0"/>
        <w:autoSpaceDN w:val="0"/>
        <w:spacing w:after="0" w:line="240" w:lineRule="auto"/>
        <w:jc w:val="both"/>
        <w:rPr>
          <w:rFonts w:ascii="Arial" w:eastAsia="Verdana" w:hAnsi="Arial" w:cs="Arial"/>
          <w:sz w:val="24"/>
          <w:szCs w:val="24"/>
          <w:lang w:val="ro-RO" w:eastAsia="ro-RO"/>
        </w:rPr>
      </w:pPr>
      <w:r w:rsidRPr="000318CE">
        <w:rPr>
          <w:rFonts w:ascii="Arial" w:eastAsia="Verdana" w:hAnsi="Arial" w:cs="Arial"/>
          <w:sz w:val="24"/>
          <w:szCs w:val="24"/>
          <w:lang w:val="ro-RO" w:eastAsia="ro-RO"/>
        </w:rPr>
        <w:t xml:space="preserve">b) situațiile financiare anuale aferente anului 2022, înregistrate la autoritatea de administrare fiscală din România, inclusiv balanța de verificare analitică </w:t>
      </w:r>
      <w:r w:rsidRPr="000318CE">
        <w:rPr>
          <w:rFonts w:ascii="Arial" w:eastAsia="Times New Roman" w:hAnsi="Arial" w:cs="Arial"/>
          <w:noProof/>
          <w:sz w:val="24"/>
          <w:szCs w:val="24"/>
          <w:lang w:val="en-GB" w:eastAsia="en-GB"/>
        </w:rPr>
        <w:t>anuală care a stat la baza întocmirii acestor situații financiare.</w:t>
      </w:r>
    </w:p>
    <w:p w14:paraId="4B20FF19"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9. Regularizarea contribuției percepute pentru anul 2023 de la titularii de licențe de furnizare de GNL, biogaz/biometan și de e</w:t>
      </w:r>
      <w:r w:rsidRPr="000318CE">
        <w:rPr>
          <w:rFonts w:ascii="Arial" w:eastAsia="Verdana" w:hAnsi="Arial" w:cs="Arial"/>
          <w:sz w:val="24"/>
          <w:szCs w:val="24"/>
          <w:lang w:val="ro-RO" w:eastAsia="ro-RO"/>
        </w:rPr>
        <w:t xml:space="preserve">xploatare comercială a instalațiilor de producere a hidrogenului </w:t>
      </w:r>
      <w:r w:rsidRPr="000318CE">
        <w:rPr>
          <w:rFonts w:ascii="Arial" w:eastAsia="Verdana" w:hAnsi="Arial" w:cs="Arial"/>
          <w:sz w:val="24"/>
          <w:szCs w:val="24"/>
          <w:lang w:eastAsia="ro-RO"/>
        </w:rPr>
        <w:t xml:space="preserve">se realizează între 1 mai și 31 mai a anului următor celui  pentru care s-a stabilit contribuția bănească anuală, pe baza cantităților efectiv realizate în anul supus regularizării, și declarate  la ANRE în conformitate cu prevederile legale specifice sectorului gazelor naturale, respectiv </w:t>
      </w:r>
      <w:r w:rsidRPr="000318CE">
        <w:rPr>
          <w:rFonts w:ascii="Arial" w:eastAsia="Times New Roman" w:hAnsi="Arial" w:cs="Arial"/>
          <w:color w:val="000000"/>
          <w:sz w:val="24"/>
          <w:szCs w:val="24"/>
          <w:shd w:val="clear" w:color="auto" w:fill="FFFFFF"/>
          <w:lang w:val="en-GB" w:eastAsia="en-GB"/>
        </w:rPr>
        <w:t xml:space="preserve">la termenele legale prevăzute prin </w:t>
      </w:r>
      <w:r w:rsidRPr="000318CE">
        <w:rPr>
          <w:rFonts w:ascii="Arial" w:eastAsia="Times New Roman" w:hAnsi="Arial" w:cs="Arial"/>
          <w:sz w:val="24"/>
          <w:szCs w:val="24"/>
          <w:shd w:val="clear" w:color="auto" w:fill="FFFFFF"/>
          <w:lang w:val="en-GB" w:eastAsia="en-GB"/>
        </w:rPr>
        <w:t>Metodologia de monitorizare a pieţei gazelor naturale, aprobată prin Ordinul preşedintelui Autorităţii Naţionale de Reglementare în Domeniul Energiei nr. 5/2013.</w:t>
      </w:r>
      <w:r w:rsidRPr="000318CE">
        <w:rPr>
          <w:rFonts w:ascii="Arial" w:eastAsia="Verdana" w:hAnsi="Arial" w:cs="Arial"/>
          <w:sz w:val="24"/>
          <w:szCs w:val="24"/>
          <w:lang w:eastAsia="ro-RO"/>
        </w:rPr>
        <w:t xml:space="preserve"> În același mod, se realizează și regularizarea contribuției percepute pentru anul 2023 de la ceilalți titulari de licențe, de decizii de confirmare a sistemului de distribuţie închis</w:t>
      </w:r>
      <w:r w:rsidRPr="000318CE">
        <w:rPr>
          <w:rFonts w:ascii="Arial" w:eastAsia="Verdana" w:hAnsi="Arial" w:cs="Arial"/>
          <w:sz w:val="16"/>
          <w:szCs w:val="16"/>
          <w:lang w:val="ro-RO" w:eastAsia="ro-RO"/>
        </w:rPr>
        <w:t xml:space="preserve">, </w:t>
      </w:r>
      <w:r w:rsidRPr="000318CE">
        <w:rPr>
          <w:rFonts w:ascii="Arial" w:eastAsia="Verdana" w:hAnsi="Arial" w:cs="Arial"/>
          <w:sz w:val="24"/>
          <w:szCs w:val="24"/>
          <w:lang w:eastAsia="ro-RO"/>
        </w:rPr>
        <w:t xml:space="preserve">precum </w:t>
      </w:r>
      <w:r w:rsidRPr="000318CE">
        <w:rPr>
          <w:rFonts w:ascii="Arial" w:eastAsia="Times New Roman" w:hAnsi="Arial" w:cs="Arial"/>
          <w:sz w:val="24"/>
          <w:szCs w:val="24"/>
          <w:shd w:val="clear" w:color="auto" w:fill="FFFFFF"/>
          <w:lang w:val="en-GB" w:eastAsia="en-GB"/>
        </w:rPr>
        <w:t xml:space="preserve">și de la titulari ai </w:t>
      </w:r>
      <w:r w:rsidRPr="000318CE">
        <w:rPr>
          <w:rFonts w:ascii="Arial" w:eastAsia="Verdana" w:hAnsi="Arial" w:cs="Arial"/>
          <w:sz w:val="24"/>
          <w:szCs w:val="24"/>
          <w:lang w:eastAsia="ro-RO"/>
        </w:rPr>
        <w:t xml:space="preserve">confirmărilor privind dreptul de participare la pieţele de gaze naturale din România acordate de Autoritatea Națională de Reglementare în Domeniul Energiei pentru activitățile din sectorul gazelor naturale prevăzute în tabelul nr.1 </w:t>
      </w:r>
    </w:p>
    <w:p w14:paraId="4BE734F4"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10. La acordarea </w:t>
      </w:r>
      <w:r w:rsidRPr="000318CE">
        <w:rPr>
          <w:rFonts w:ascii="Arial" w:eastAsia="Times New Roman" w:hAnsi="Arial" w:cs="Arial"/>
          <w:sz w:val="24"/>
          <w:szCs w:val="24"/>
          <w:shd w:val="clear" w:color="auto" w:fill="FFFFFF"/>
          <w:lang w:val="en-GB" w:eastAsia="en-GB"/>
        </w:rPr>
        <w:t xml:space="preserve">în cursul anului 2023 a </w:t>
      </w:r>
      <w:r w:rsidRPr="000318CE">
        <w:rPr>
          <w:rFonts w:ascii="Arial" w:eastAsia="Verdana" w:hAnsi="Arial" w:cs="Arial"/>
          <w:sz w:val="24"/>
          <w:szCs w:val="24"/>
          <w:lang w:eastAsia="ro-RO"/>
        </w:rPr>
        <w:t xml:space="preserve">unei licențe pentru desfășurarea de activități în sectorul gazelor naturale, a unei </w:t>
      </w:r>
      <w:r w:rsidRPr="000318CE">
        <w:rPr>
          <w:rFonts w:ascii="Arial" w:eastAsia="Times New Roman" w:hAnsi="Arial" w:cs="Arial"/>
          <w:sz w:val="24"/>
          <w:szCs w:val="24"/>
          <w:shd w:val="clear" w:color="auto" w:fill="FFFFFF"/>
          <w:lang w:val="ro-RO" w:eastAsia="en-GB"/>
        </w:rPr>
        <w:t>decizii de confirmare a sistemului de distribuţie închis,</w:t>
      </w:r>
      <w:r w:rsidRPr="000318CE">
        <w:rPr>
          <w:rFonts w:ascii="Arial" w:eastAsia="Verdana" w:hAnsi="Arial" w:cs="Arial"/>
          <w:sz w:val="24"/>
          <w:szCs w:val="24"/>
          <w:lang w:eastAsia="ro-RO"/>
        </w:rPr>
        <w:t xml:space="preserve"> respectiv a unui drept confirmat de Autoritatea Națională de Reglementare în Domeniul Energiei de participare la pieţele de gaze naturale din România, operatorul economic achită Autorității Naționale de Reglementare în Domeniul Energiei o contribuție bănească în valoare de 7.500 lei.</w:t>
      </w:r>
    </w:p>
    <w:p w14:paraId="7FE74A6E" w14:textId="77777777" w:rsidR="009B1274" w:rsidRPr="000318CE" w:rsidRDefault="009B1274" w:rsidP="009B1274">
      <w:pPr>
        <w:autoSpaceDE w:val="0"/>
        <w:autoSpaceDN w:val="0"/>
        <w:spacing w:after="0" w:line="240" w:lineRule="auto"/>
        <w:jc w:val="both"/>
        <w:rPr>
          <w:rFonts w:ascii="Arial" w:eastAsia="Verdana" w:hAnsi="Arial" w:cs="Arial"/>
          <w:sz w:val="24"/>
          <w:szCs w:val="24"/>
          <w:lang w:eastAsia="ro-RO"/>
        </w:rPr>
      </w:pPr>
    </w:p>
    <w:p w14:paraId="671F5D56" w14:textId="77777777" w:rsidR="009B1274" w:rsidRPr="000318CE" w:rsidRDefault="009B1274" w:rsidP="009B1274">
      <w:pPr>
        <w:autoSpaceDE w:val="0"/>
        <w:autoSpaceDN w:val="0"/>
        <w:spacing w:after="0" w:line="240" w:lineRule="auto"/>
        <w:jc w:val="both"/>
        <w:rPr>
          <w:rFonts w:ascii="Arial" w:eastAsia="Verdana" w:hAnsi="Arial" w:cs="Arial"/>
          <w:b/>
          <w:sz w:val="24"/>
          <w:szCs w:val="24"/>
          <w:lang w:eastAsia="ro-RO"/>
        </w:rPr>
      </w:pPr>
      <w:r w:rsidRPr="000318CE" w:rsidDel="002C2AEE">
        <w:rPr>
          <w:rFonts w:ascii="Arial" w:eastAsia="Verdana" w:hAnsi="Arial" w:cs="Arial"/>
          <w:sz w:val="24"/>
          <w:szCs w:val="24"/>
          <w:lang w:eastAsia="ro-RO"/>
        </w:rPr>
        <w:t xml:space="preserve">    </w:t>
      </w:r>
      <w:r w:rsidRPr="000318CE">
        <w:rPr>
          <w:rFonts w:ascii="Arial" w:eastAsia="Verdana" w:hAnsi="Arial" w:cs="Arial"/>
          <w:b/>
          <w:sz w:val="24"/>
          <w:szCs w:val="24"/>
          <w:lang w:eastAsia="ro-RO"/>
        </w:rPr>
        <w:t>III. Dispoziții finale</w:t>
      </w:r>
    </w:p>
    <w:p w14:paraId="394CA45A" w14:textId="77777777" w:rsidR="009B1274" w:rsidRPr="000318CE" w:rsidRDefault="009B1274" w:rsidP="009B1274">
      <w:pPr>
        <w:autoSpaceDE w:val="0"/>
        <w:autoSpaceDN w:val="0"/>
        <w:spacing w:after="0" w:line="240" w:lineRule="auto"/>
        <w:ind w:left="225"/>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1. Durata de suspendare a unei licențe/decizii de confirmare a sistemului de distribuţie închis, respectiv a dreptului confirmat de Autoritatea Națională de Reglementare în Domeniul Energiei de participare la pieţele de energie electrică şi gaze naturale din România,, care este precizată în decizia emisă în acest scop de Autoritatea Națională de Reglementare în Domeniul Energiei, nu diminuează valoarea contribuției percepute de la operatorul economic pentru anul în care se înregistrează suspendarea acesteia.</w:t>
      </w:r>
    </w:p>
    <w:p w14:paraId="4C49F10D" w14:textId="77777777" w:rsidR="009B1274" w:rsidRPr="000318CE" w:rsidRDefault="009B1274" w:rsidP="009B1274">
      <w:pPr>
        <w:autoSpaceDE w:val="0"/>
        <w:autoSpaceDN w:val="0"/>
        <w:spacing w:after="0" w:line="240" w:lineRule="auto"/>
        <w:ind w:left="225"/>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2. În cazul falimentului titularului licențe/ deciziei de confirmare a sistemului de distribuţie închis /titularului confirmării privind dreptul de participare la pieţele de energie electrică și gaze naturale din România acordate de Autoritatea Națională de Reglementare în Domeniul Energiei, contribuția bănească nu se datorează de la data deschiderii procedurii falimentului titularului licenței, constatată prin hotărâre judecătorească rămasă definitivă.</w:t>
      </w:r>
    </w:p>
    <w:p w14:paraId="4BB17031" w14:textId="77777777" w:rsidR="009B1274" w:rsidRPr="000318CE" w:rsidRDefault="009B1274" w:rsidP="009B1274">
      <w:pPr>
        <w:autoSpaceDE w:val="0"/>
        <w:autoSpaceDN w:val="0"/>
        <w:spacing w:after="0" w:line="240" w:lineRule="auto"/>
        <w:ind w:left="225"/>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3. Dobânzile şi penalitaţile mai mici de 10 lei calculate pentru neachitarea la termen a debitelor principale se anulează.</w:t>
      </w:r>
    </w:p>
    <w:p w14:paraId="7129D3ED" w14:textId="77777777" w:rsidR="009B1274" w:rsidRPr="000318CE" w:rsidRDefault="009B1274" w:rsidP="009B1274">
      <w:pPr>
        <w:autoSpaceDE w:val="0"/>
        <w:autoSpaceDN w:val="0"/>
        <w:spacing w:after="0" w:line="240" w:lineRule="auto"/>
        <w:ind w:left="225"/>
        <w:jc w:val="both"/>
        <w:rPr>
          <w:rFonts w:ascii="Arial" w:eastAsia="Verdana" w:hAnsi="Arial" w:cs="Arial"/>
          <w:sz w:val="24"/>
          <w:szCs w:val="24"/>
          <w:lang w:eastAsia="ro-RO"/>
        </w:rPr>
      </w:pPr>
      <w:r w:rsidRPr="000318CE">
        <w:rPr>
          <w:rFonts w:ascii="Arial" w:eastAsia="Verdana" w:hAnsi="Arial" w:cs="Arial"/>
          <w:sz w:val="24"/>
          <w:szCs w:val="24"/>
          <w:lang w:eastAsia="ro-RO"/>
        </w:rPr>
        <w:lastRenderedPageBreak/>
        <w:t xml:space="preserve">     4. Dacă în urma regularizării contribuției rezultă sume negative, Autoritatea Națională de Reglementare în Domeniul Energiei va percepe dobânzi și penalități la debitul calculat ca diferență între valoarea facturii de contribuție și valoarea facturii de regularizare, începând cu ziua imediat următoare scadenței și până la data stingerii acesteia inclusiv.</w:t>
      </w:r>
    </w:p>
    <w:p w14:paraId="6CB419EA" w14:textId="77777777" w:rsidR="009B1274" w:rsidRPr="000318CE" w:rsidRDefault="009B1274" w:rsidP="009B1274">
      <w:pPr>
        <w:autoSpaceDE w:val="0"/>
        <w:autoSpaceDN w:val="0"/>
        <w:spacing w:after="0" w:line="240" w:lineRule="auto"/>
        <w:ind w:left="225"/>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5. Sumele pe care Autoritatea Națională de Reglementare în Domeniul Energiei le datorează titularilor de licență/decizie de confirmare a sistemului de distribuţie închis /titularului confirmării privind dreptul de participare la pieţele de energie electrică și gaze naturale din România acordate de Autoritatea Națională de Reglementare în Domeniul Energiei se restituie în termen de 30 de zile de la primirea cererii de restituire. Cererea de restituire trebuie să conțină cel puțin următoarele elemente: denumirea societății, datele de identificare ale societății, inclusiv codul IBAN și societatea bancară, suma solicitată, semnătura reprezentantului legal al societății.</w:t>
      </w:r>
    </w:p>
    <w:p w14:paraId="545318B9" w14:textId="77777777" w:rsidR="009B1274" w:rsidRPr="000318CE" w:rsidRDefault="009B1274" w:rsidP="009B1274">
      <w:pPr>
        <w:autoSpaceDE w:val="0"/>
        <w:autoSpaceDN w:val="0"/>
        <w:spacing w:after="0" w:line="240" w:lineRule="auto"/>
        <w:ind w:left="225"/>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6. Declarațiile prevăzute la pct. I și II se transmit prin e-mail la adresa anre@anre.ro, prin fax la nr. 021-312.43.65, pe portalul ANRE sau prin poștă la adresa: str. Constantin Nacu nr. 3, București, sector 2, cod poștal 020995.</w:t>
      </w:r>
    </w:p>
    <w:p w14:paraId="12E84EA5" w14:textId="77777777" w:rsidR="009B1274" w:rsidRPr="000318CE" w:rsidRDefault="009B1274" w:rsidP="009B1274">
      <w:pPr>
        <w:autoSpaceDE w:val="0"/>
        <w:autoSpaceDN w:val="0"/>
        <w:spacing w:after="0" w:line="240" w:lineRule="auto"/>
        <w:ind w:left="225"/>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7. Netransmiterea datelor solicitate în termenele prevăzute în cadrul prezentei anexe sau transmiterea eronată </w:t>
      </w:r>
      <w:proofErr w:type="gramStart"/>
      <w:r w:rsidRPr="000318CE">
        <w:rPr>
          <w:rFonts w:ascii="Arial" w:eastAsia="Verdana" w:hAnsi="Arial" w:cs="Arial"/>
          <w:sz w:val="24"/>
          <w:szCs w:val="24"/>
          <w:lang w:eastAsia="ro-RO"/>
        </w:rPr>
        <w:t>a</w:t>
      </w:r>
      <w:proofErr w:type="gramEnd"/>
      <w:r w:rsidRPr="000318CE">
        <w:rPr>
          <w:rFonts w:ascii="Arial" w:eastAsia="Verdana" w:hAnsi="Arial" w:cs="Arial"/>
          <w:sz w:val="24"/>
          <w:szCs w:val="24"/>
          <w:lang w:eastAsia="ro-RO"/>
        </w:rPr>
        <w:t xml:space="preserve"> acestora în urma primirii notificărilor Autorității Naționale de Reglementare în Domeniul Energiei constituie contravenție conform prevederilor art. 93 și art. 194 din Legea energiei electrice și a gazelor naturale nr. 123/2012, cu modificările și completările ulterioare și ale art.47 din Legea serviciilor comunitare de utilități publice nr.51/2006, republicată, cu modificările și completările ulterioare, după caz.</w:t>
      </w:r>
    </w:p>
    <w:p w14:paraId="751DD6D2" w14:textId="77777777" w:rsidR="009B1274" w:rsidRPr="000318CE" w:rsidRDefault="009B1274" w:rsidP="009B1274">
      <w:pPr>
        <w:autoSpaceDE w:val="0"/>
        <w:autoSpaceDN w:val="0"/>
        <w:spacing w:after="0" w:line="240" w:lineRule="auto"/>
        <w:ind w:left="225"/>
        <w:jc w:val="both"/>
        <w:rPr>
          <w:rFonts w:ascii="Arial" w:eastAsia="Verdana" w:hAnsi="Arial" w:cs="Arial"/>
          <w:sz w:val="24"/>
          <w:szCs w:val="24"/>
          <w:lang w:eastAsia="ro-RO"/>
        </w:rPr>
      </w:pPr>
      <w:r w:rsidRPr="000318CE">
        <w:rPr>
          <w:rFonts w:ascii="Arial" w:eastAsia="Verdana" w:hAnsi="Arial" w:cs="Arial"/>
          <w:sz w:val="24"/>
          <w:szCs w:val="24"/>
          <w:lang w:eastAsia="ro-RO"/>
        </w:rPr>
        <w:t xml:space="preserve">    8</w:t>
      </w:r>
      <w:r w:rsidRPr="000318CE" w:rsidDel="002C2AEE">
        <w:rPr>
          <w:rFonts w:ascii="Arial" w:eastAsia="Verdana" w:hAnsi="Arial" w:cs="Arial"/>
          <w:sz w:val="24"/>
          <w:szCs w:val="24"/>
          <w:lang w:eastAsia="ro-RO"/>
        </w:rPr>
        <w:t xml:space="preserve">. Valoarea contribuției bănești </w:t>
      </w:r>
      <w:r w:rsidRPr="000318CE">
        <w:rPr>
          <w:rFonts w:ascii="Arial" w:eastAsia="Verdana" w:hAnsi="Arial" w:cs="Arial"/>
          <w:sz w:val="24"/>
          <w:szCs w:val="24"/>
          <w:lang w:eastAsia="ro-RO"/>
        </w:rPr>
        <w:t xml:space="preserve">anuale, </w:t>
      </w:r>
      <w:r w:rsidRPr="000318CE" w:rsidDel="002C2AEE">
        <w:rPr>
          <w:rFonts w:ascii="Arial" w:eastAsia="Verdana" w:hAnsi="Arial" w:cs="Arial"/>
          <w:sz w:val="24"/>
          <w:szCs w:val="24"/>
          <w:lang w:eastAsia="ro-RO"/>
        </w:rPr>
        <w:t xml:space="preserve">percepută de Autoritatea Națională de Reglementare în Domeniul Energiei de la un </w:t>
      </w:r>
      <w:r w:rsidRPr="000318CE">
        <w:rPr>
          <w:rFonts w:ascii="Arial" w:eastAsia="Verdana" w:hAnsi="Arial" w:cs="Arial"/>
          <w:sz w:val="24"/>
          <w:szCs w:val="24"/>
          <w:lang w:eastAsia="ro-RO"/>
        </w:rPr>
        <w:t xml:space="preserve">titular </w:t>
      </w:r>
      <w:r w:rsidRPr="000318CE" w:rsidDel="002C2AEE">
        <w:rPr>
          <w:rFonts w:ascii="Arial" w:eastAsia="Verdana" w:hAnsi="Arial" w:cs="Arial"/>
          <w:sz w:val="24"/>
          <w:szCs w:val="24"/>
          <w:lang w:eastAsia="ro-RO"/>
        </w:rPr>
        <w:t>de licență</w:t>
      </w:r>
      <w:r w:rsidRPr="000318CE">
        <w:rPr>
          <w:rFonts w:ascii="Arial" w:eastAsia="Verdana" w:hAnsi="Arial" w:cs="Arial"/>
          <w:sz w:val="24"/>
          <w:szCs w:val="24"/>
          <w:lang w:eastAsia="ro-RO"/>
        </w:rPr>
        <w:t xml:space="preserve">/ decizie de confirmare a sistemului de distribuţie închis /titularul confirmării privind dreptul de participare la pieţele de energie electrică și gaze naturale din România acordate de Autoritatea Națională de Reglementare în Domeniul Energiei, </w:t>
      </w:r>
      <w:r w:rsidRPr="000318CE" w:rsidDel="002C2AEE">
        <w:rPr>
          <w:rFonts w:ascii="Arial" w:eastAsia="Verdana" w:hAnsi="Arial" w:cs="Arial"/>
          <w:sz w:val="24"/>
          <w:szCs w:val="24"/>
          <w:lang w:eastAsia="ro-RO"/>
        </w:rPr>
        <w:t>nu poate fi mai mică de 3.125 lei</w:t>
      </w:r>
      <w:r w:rsidRPr="000318CE">
        <w:rPr>
          <w:rFonts w:ascii="Arial" w:eastAsia="Verdana" w:hAnsi="Arial" w:cs="Arial"/>
          <w:sz w:val="24"/>
          <w:szCs w:val="24"/>
          <w:lang w:eastAsia="ro-RO"/>
        </w:rPr>
        <w:t>.</w:t>
      </w:r>
    </w:p>
    <w:p w14:paraId="14C7300D" w14:textId="77777777" w:rsidR="009B1274" w:rsidRPr="000318CE" w:rsidRDefault="009B1274" w:rsidP="009B1274">
      <w:pPr>
        <w:autoSpaceDE w:val="0"/>
        <w:autoSpaceDN w:val="0"/>
        <w:spacing w:after="0" w:line="240" w:lineRule="auto"/>
        <w:ind w:left="225"/>
        <w:jc w:val="both"/>
        <w:rPr>
          <w:rFonts w:ascii="Arial" w:eastAsia="Verdana" w:hAnsi="Arial" w:cs="Arial"/>
          <w:sz w:val="24"/>
          <w:szCs w:val="24"/>
          <w:lang w:eastAsia="ro-RO"/>
        </w:rPr>
      </w:pPr>
    </w:p>
    <w:p w14:paraId="388B1CA5" w14:textId="77777777" w:rsidR="009B1274" w:rsidRPr="000318CE" w:rsidRDefault="009B1274" w:rsidP="009B1274">
      <w:pPr>
        <w:autoSpaceDE w:val="0"/>
        <w:autoSpaceDN w:val="0"/>
        <w:spacing w:after="0" w:line="240" w:lineRule="auto"/>
        <w:rPr>
          <w:rFonts w:ascii="Verdana" w:eastAsia="Verdana" w:hAnsi="Verdana" w:cs="Times New Roman"/>
          <w:sz w:val="18"/>
          <w:szCs w:val="16"/>
          <w:lang w:val="ro-RO" w:eastAsia="ro-RO"/>
        </w:rPr>
      </w:pPr>
    </w:p>
    <w:p w14:paraId="4BD6A914" w14:textId="77777777" w:rsidR="009B1274" w:rsidRPr="000318CE" w:rsidRDefault="009B1274" w:rsidP="009B1274"/>
    <w:p w14:paraId="05213485" w14:textId="77777777" w:rsidR="009B1274" w:rsidRDefault="009B1274" w:rsidP="009B1274"/>
    <w:p w14:paraId="65E87408" w14:textId="77777777" w:rsidR="009B1274" w:rsidRDefault="009B1274" w:rsidP="009B1274"/>
    <w:p w14:paraId="3EDB8E47" w14:textId="77777777" w:rsidR="00955FC6" w:rsidRDefault="009B1274"/>
    <w:sectPr w:rsidR="00955F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11BE9"/>
    <w:multiLevelType w:val="hybridMultilevel"/>
    <w:tmpl w:val="EC82BF58"/>
    <w:lvl w:ilvl="0" w:tplc="87D6BD7C">
      <w:start w:val="4"/>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abstractNum w:abstractNumId="1" w15:restartNumberingAfterBreak="0">
    <w:nsid w:val="6DBA381B"/>
    <w:multiLevelType w:val="hybridMultilevel"/>
    <w:tmpl w:val="E2AEC698"/>
    <w:lvl w:ilvl="0" w:tplc="189C5A8A">
      <w:start w:val="4"/>
      <w:numFmt w:val="bullet"/>
      <w:lvlText w:val="-"/>
      <w:lvlJc w:val="left"/>
      <w:pPr>
        <w:ind w:left="585" w:hanging="360"/>
      </w:pPr>
      <w:rPr>
        <w:rFonts w:ascii="Times New Roman" w:eastAsia="Times New Roman" w:hAnsi="Times New Roman" w:cs="Times New Roman" w:hint="default"/>
      </w:rPr>
    </w:lvl>
    <w:lvl w:ilvl="1" w:tplc="08090003" w:tentative="1">
      <w:start w:val="1"/>
      <w:numFmt w:val="bullet"/>
      <w:lvlText w:val="o"/>
      <w:lvlJc w:val="left"/>
      <w:pPr>
        <w:ind w:left="1305" w:hanging="360"/>
      </w:pPr>
      <w:rPr>
        <w:rFonts w:ascii="Courier New" w:hAnsi="Courier New" w:cs="Courier New" w:hint="default"/>
      </w:rPr>
    </w:lvl>
    <w:lvl w:ilvl="2" w:tplc="08090005" w:tentative="1">
      <w:start w:val="1"/>
      <w:numFmt w:val="bullet"/>
      <w:lvlText w:val=""/>
      <w:lvlJc w:val="left"/>
      <w:pPr>
        <w:ind w:left="2025" w:hanging="360"/>
      </w:pPr>
      <w:rPr>
        <w:rFonts w:ascii="Wingdings" w:hAnsi="Wingdings" w:hint="default"/>
      </w:rPr>
    </w:lvl>
    <w:lvl w:ilvl="3" w:tplc="08090001" w:tentative="1">
      <w:start w:val="1"/>
      <w:numFmt w:val="bullet"/>
      <w:lvlText w:val=""/>
      <w:lvlJc w:val="left"/>
      <w:pPr>
        <w:ind w:left="2745" w:hanging="360"/>
      </w:pPr>
      <w:rPr>
        <w:rFonts w:ascii="Symbol" w:hAnsi="Symbol" w:hint="default"/>
      </w:rPr>
    </w:lvl>
    <w:lvl w:ilvl="4" w:tplc="08090003" w:tentative="1">
      <w:start w:val="1"/>
      <w:numFmt w:val="bullet"/>
      <w:lvlText w:val="o"/>
      <w:lvlJc w:val="left"/>
      <w:pPr>
        <w:ind w:left="3465" w:hanging="360"/>
      </w:pPr>
      <w:rPr>
        <w:rFonts w:ascii="Courier New" w:hAnsi="Courier New" w:cs="Courier New" w:hint="default"/>
      </w:rPr>
    </w:lvl>
    <w:lvl w:ilvl="5" w:tplc="08090005" w:tentative="1">
      <w:start w:val="1"/>
      <w:numFmt w:val="bullet"/>
      <w:lvlText w:val=""/>
      <w:lvlJc w:val="left"/>
      <w:pPr>
        <w:ind w:left="4185" w:hanging="360"/>
      </w:pPr>
      <w:rPr>
        <w:rFonts w:ascii="Wingdings" w:hAnsi="Wingdings" w:hint="default"/>
      </w:rPr>
    </w:lvl>
    <w:lvl w:ilvl="6" w:tplc="08090001" w:tentative="1">
      <w:start w:val="1"/>
      <w:numFmt w:val="bullet"/>
      <w:lvlText w:val=""/>
      <w:lvlJc w:val="left"/>
      <w:pPr>
        <w:ind w:left="4905" w:hanging="360"/>
      </w:pPr>
      <w:rPr>
        <w:rFonts w:ascii="Symbol" w:hAnsi="Symbol" w:hint="default"/>
      </w:rPr>
    </w:lvl>
    <w:lvl w:ilvl="7" w:tplc="08090003" w:tentative="1">
      <w:start w:val="1"/>
      <w:numFmt w:val="bullet"/>
      <w:lvlText w:val="o"/>
      <w:lvlJc w:val="left"/>
      <w:pPr>
        <w:ind w:left="5625" w:hanging="360"/>
      </w:pPr>
      <w:rPr>
        <w:rFonts w:ascii="Courier New" w:hAnsi="Courier New" w:cs="Courier New" w:hint="default"/>
      </w:rPr>
    </w:lvl>
    <w:lvl w:ilvl="8" w:tplc="08090005" w:tentative="1">
      <w:start w:val="1"/>
      <w:numFmt w:val="bullet"/>
      <w:lvlText w:val=""/>
      <w:lvlJc w:val="left"/>
      <w:pPr>
        <w:ind w:left="6345" w:hanging="360"/>
      </w:pPr>
      <w:rPr>
        <w:rFonts w:ascii="Wingdings" w:hAnsi="Wingdings" w:hint="default"/>
      </w:rPr>
    </w:lvl>
  </w:abstractNum>
  <w:num w:numId="1" w16cid:durableId="565720689">
    <w:abstractNumId w:val="1"/>
  </w:num>
  <w:num w:numId="2" w16cid:durableId="9547542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274"/>
    <w:rsid w:val="002756E2"/>
    <w:rsid w:val="002C2B71"/>
    <w:rsid w:val="007F215E"/>
    <w:rsid w:val="009B12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70AE7"/>
  <w15:chartTrackingRefBased/>
  <w15:docId w15:val="{5D75A48F-066C-4805-B28B-C737F2FAA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12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5593</Words>
  <Characters>31882</Characters>
  <Application>Microsoft Office Word</Application>
  <DocSecurity>0</DocSecurity>
  <Lines>265</Lines>
  <Paragraphs>74</Paragraphs>
  <ScaleCrop>false</ScaleCrop>
  <Company/>
  <LinksUpToDate>false</LinksUpToDate>
  <CharactersWithSpaces>37401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Dadu</dc:creator>
  <cp:keywords/>
  <dc:description/>
  <cp:lastModifiedBy>Gina Dadu</cp:lastModifiedBy>
  <cp:revision>1</cp:revision>
  <dcterms:created xsi:type="dcterms:W3CDTF">2022-11-07T11:14:00Z</dcterms:created>
  <dcterms:modified xsi:type="dcterms:W3CDTF">2022-11-07T11:15:00Z</dcterms:modified>
</cp:coreProperties>
</file>