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D436" w14:textId="77777777" w:rsidR="00446062" w:rsidRPr="000318CE" w:rsidRDefault="00446062" w:rsidP="00446062">
      <w:pPr>
        <w:spacing w:after="0" w:line="240" w:lineRule="auto"/>
        <w:jc w:val="center"/>
        <w:rPr>
          <w:rFonts w:ascii="Arial" w:eastAsiaTheme="minorEastAsia" w:hAnsi="Arial" w:cs="Arial"/>
          <w:b/>
          <w:bCs/>
          <w:sz w:val="24"/>
          <w:szCs w:val="24"/>
          <w:lang w:val="ro-RO" w:eastAsia="ro-RO"/>
        </w:rPr>
      </w:pPr>
    </w:p>
    <w:p w14:paraId="6D43F4A1" w14:textId="77777777" w:rsidR="00446062" w:rsidRPr="000318CE" w:rsidRDefault="00446062" w:rsidP="00446062">
      <w:pPr>
        <w:spacing w:after="0" w:line="240" w:lineRule="auto"/>
        <w:ind w:left="6480" w:firstLine="720"/>
        <w:rPr>
          <w:rFonts w:ascii="Arial" w:eastAsiaTheme="minorEastAsia" w:hAnsi="Arial" w:cs="Arial"/>
          <w:b/>
          <w:bCs/>
          <w:sz w:val="24"/>
          <w:szCs w:val="24"/>
          <w:lang w:val="ro-RO" w:eastAsia="ro-RO"/>
        </w:rPr>
      </w:pPr>
      <w:r w:rsidRPr="000318CE">
        <w:rPr>
          <w:rFonts w:ascii="Arial" w:eastAsiaTheme="minorEastAsia" w:hAnsi="Arial" w:cs="Arial"/>
          <w:b/>
          <w:bCs/>
          <w:sz w:val="24"/>
          <w:szCs w:val="24"/>
          <w:lang w:val="ro-RO" w:eastAsia="ro-RO"/>
        </w:rPr>
        <w:t>Anexa nr. 3</w:t>
      </w:r>
    </w:p>
    <w:p w14:paraId="630CBC99" w14:textId="710DAB8A" w:rsidR="00446062" w:rsidRDefault="00446062" w:rsidP="00446062">
      <w:pPr>
        <w:spacing w:after="0" w:line="240" w:lineRule="auto"/>
        <w:ind w:left="225"/>
        <w:jc w:val="center"/>
        <w:rPr>
          <w:rFonts w:ascii="Arial" w:eastAsiaTheme="minorEastAsia" w:hAnsi="Arial" w:cs="Arial"/>
          <w:b/>
          <w:sz w:val="24"/>
          <w:szCs w:val="24"/>
          <w:shd w:val="clear" w:color="auto" w:fill="FFFFFF"/>
          <w:lang w:val="ro-RO" w:eastAsia="ro-RO"/>
        </w:rPr>
      </w:pPr>
      <w:bookmarkStart w:id="0" w:name="_Hlk118719397"/>
      <w:r w:rsidRPr="000318CE">
        <w:rPr>
          <w:rFonts w:ascii="Arial" w:eastAsiaTheme="minorEastAsia" w:hAnsi="Arial" w:cs="Arial"/>
          <w:b/>
          <w:sz w:val="24"/>
          <w:szCs w:val="24"/>
          <w:shd w:val="clear" w:color="auto" w:fill="FFFFFF"/>
          <w:lang w:val="ro-RO" w:eastAsia="ro-RO"/>
        </w:rPr>
        <w:t>Tariful perceput pentru autorizarea persoanelor fizice care desfășoară activități în sectorul energiei electrice, termice și gazelor naturale</w:t>
      </w:r>
    </w:p>
    <w:bookmarkEnd w:id="0"/>
    <w:p w14:paraId="347AC1B9" w14:textId="77777777" w:rsidR="00446062" w:rsidRPr="000318CE" w:rsidRDefault="00446062" w:rsidP="00446062">
      <w:pPr>
        <w:spacing w:after="0" w:line="240" w:lineRule="auto"/>
        <w:ind w:left="225"/>
        <w:jc w:val="center"/>
        <w:rPr>
          <w:rFonts w:ascii="Arial" w:eastAsiaTheme="minorEastAsia" w:hAnsi="Arial" w:cs="Arial"/>
          <w:b/>
          <w:sz w:val="24"/>
          <w:szCs w:val="24"/>
          <w:shd w:val="clear" w:color="auto" w:fill="FFFFFF"/>
          <w:lang w:val="ro-RO" w:eastAsia="ro-RO"/>
        </w:rPr>
      </w:pPr>
    </w:p>
    <w:p w14:paraId="7AAC1A03" w14:textId="10C526AC" w:rsidR="00446062" w:rsidRPr="000D76ED" w:rsidRDefault="00446062" w:rsidP="00446062">
      <w:pPr>
        <w:numPr>
          <w:ilvl w:val="0"/>
          <w:numId w:val="1"/>
        </w:numPr>
        <w:autoSpaceDE w:val="0"/>
        <w:autoSpaceDN w:val="0"/>
        <w:spacing w:after="0" w:line="240" w:lineRule="auto"/>
        <w:contextualSpacing/>
        <w:jc w:val="both"/>
        <w:rPr>
          <w:rFonts w:ascii="Arial" w:eastAsia="Times New Roman" w:hAnsi="Arial" w:cs="Arial"/>
          <w:b/>
          <w:sz w:val="24"/>
          <w:szCs w:val="24"/>
          <w:shd w:val="clear" w:color="auto" w:fill="FFFFFF"/>
          <w:lang w:val="en-GB"/>
        </w:rPr>
      </w:pPr>
      <w:r w:rsidRPr="000318CE">
        <w:rPr>
          <w:rFonts w:ascii="Arial" w:eastAsia="Times New Roman" w:hAnsi="Arial" w:cs="Arial"/>
          <w:sz w:val="24"/>
          <w:szCs w:val="24"/>
          <w:shd w:val="clear" w:color="auto" w:fill="FFFFFF"/>
          <w:lang w:val="en-GB"/>
        </w:rPr>
        <w:t>Tariful pentru autorizarea persoanelor fizice care proiectează, execută și verifică instalații electrice este prevăzut în tabelul nr. 1.</w:t>
      </w:r>
    </w:p>
    <w:p w14:paraId="76694735" w14:textId="77777777" w:rsidR="000D76ED" w:rsidRPr="000318CE" w:rsidRDefault="000D76ED" w:rsidP="00446062">
      <w:pPr>
        <w:numPr>
          <w:ilvl w:val="0"/>
          <w:numId w:val="1"/>
        </w:numPr>
        <w:autoSpaceDE w:val="0"/>
        <w:autoSpaceDN w:val="0"/>
        <w:spacing w:after="0" w:line="240" w:lineRule="auto"/>
        <w:contextualSpacing/>
        <w:jc w:val="both"/>
        <w:rPr>
          <w:rFonts w:ascii="Arial" w:eastAsia="Times New Roman" w:hAnsi="Arial" w:cs="Arial"/>
          <w:b/>
          <w:sz w:val="24"/>
          <w:szCs w:val="24"/>
          <w:shd w:val="clear" w:color="auto" w:fill="FFFFFF"/>
          <w:lang w:val="en-GB"/>
        </w:rPr>
      </w:pPr>
    </w:p>
    <w:p w14:paraId="376EDC87" w14:textId="77777777" w:rsidR="00446062" w:rsidRPr="000318CE" w:rsidRDefault="00446062" w:rsidP="00446062">
      <w:pPr>
        <w:spacing w:after="0" w:line="240" w:lineRule="auto"/>
        <w:ind w:left="552" w:firstLine="258"/>
        <w:jc w:val="both"/>
        <w:rPr>
          <w:rFonts w:ascii="Arial" w:eastAsia="Times New Roman" w:hAnsi="Arial" w:cs="Arial"/>
          <w:b/>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Tabelul nr. 1 - Tariful pentru autorizarea persoanelor fizice</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2"/>
        <w:gridCol w:w="7636"/>
        <w:gridCol w:w="806"/>
      </w:tblGrid>
      <w:tr w:rsidR="00446062" w:rsidRPr="000318CE" w14:paraId="5614E029"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330EEF3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4E4B"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Tip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7A1F"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Tariful (lei)</w:t>
            </w:r>
          </w:p>
        </w:tc>
      </w:tr>
      <w:tr w:rsidR="00446062" w:rsidRPr="000318CE" w14:paraId="1C0353D6"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79E86A1F"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104F"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Gradul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A9A0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31EFC95D"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6B3FE33"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BD2FB"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Gradele de autorizare II, III, IV, de tip A sau de tip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A29A"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13CE21CC"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tcPr>
          <w:p w14:paraId="570CAFFA"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1CC7F6B2"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imes New Roman" w:hAnsi="Arial" w:cs="Arial"/>
                <w:color w:val="000000"/>
                <w:sz w:val="24"/>
                <w:szCs w:val="24"/>
                <w:shd w:val="clear" w:color="auto" w:fill="FFFFFF"/>
                <w:lang w:val="ro-RO" w:eastAsia="ro-RO"/>
              </w:rPr>
              <w:t>Vizare periodică/prelungire pentru oricare dintre gradele de autorizare, de tip A sau de tip B (inclusiv gradul I)</w:t>
            </w:r>
          </w:p>
        </w:tc>
        <w:tc>
          <w:tcPr>
            <w:tcW w:w="0" w:type="auto"/>
            <w:tcBorders>
              <w:top w:val="single" w:sz="6" w:space="0" w:color="000000"/>
              <w:left w:val="single" w:sz="6" w:space="0" w:color="000000"/>
              <w:bottom w:val="single" w:sz="6" w:space="0" w:color="000000"/>
              <w:right w:val="single" w:sz="6" w:space="0" w:color="000000"/>
            </w:tcBorders>
            <w:vAlign w:val="center"/>
          </w:tcPr>
          <w:p w14:paraId="3E4FBB38"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125</w:t>
            </w:r>
          </w:p>
        </w:tc>
      </w:tr>
      <w:tr w:rsidR="00446062" w:rsidRPr="000318CE" w14:paraId="75B53AFB"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65F34967"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3DA65"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Gradele de autorizare II, III, IV, de tip A+B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E36B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500</w:t>
            </w:r>
          </w:p>
        </w:tc>
      </w:tr>
      <w:tr w:rsidR="00446062" w:rsidRPr="000318CE" w14:paraId="249039A5"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4A493BD"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48A81"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imes New Roman" w:hAnsi="Arial" w:cs="Arial"/>
                <w:color w:val="000000"/>
                <w:sz w:val="24"/>
                <w:szCs w:val="24"/>
                <w:shd w:val="clear" w:color="auto" w:fill="FFFFFF"/>
                <w:lang w:val="ro-RO" w:eastAsia="ro-RO"/>
              </w:rPr>
              <w:t>Vizare periodică/prelungire pentru oricare dintre gradele de autorizare, de tip A +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76B1"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2BE50BF3"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C004482"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19B3"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Verificator de proiecte în domeniul instalațiilor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C62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350</w:t>
            </w:r>
          </w:p>
        </w:tc>
      </w:tr>
      <w:tr w:rsidR="00446062" w:rsidRPr="000318CE" w14:paraId="61EE5D32"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tcPr>
          <w:p w14:paraId="0D083DF3"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103D507F"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imes New Roman" w:hAnsi="Arial" w:cs="Arial"/>
                <w:color w:val="000000"/>
                <w:sz w:val="24"/>
                <w:szCs w:val="24"/>
                <w:shd w:val="clear" w:color="auto" w:fill="FFFFFF"/>
                <w:lang w:val="ro-RO" w:eastAsia="ro-RO"/>
              </w:rPr>
              <w:t>Vizarea periodică/prelungirea pentru verificator de proiecte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1B45DAFA"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175</w:t>
            </w:r>
          </w:p>
        </w:tc>
      </w:tr>
      <w:tr w:rsidR="00446062" w:rsidRPr="000318CE" w14:paraId="1A1A552D"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107A1FBC"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173C"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Expert tehnic de calitate și extrajudiciar în domeniul instalațiilor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82B85"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500</w:t>
            </w:r>
          </w:p>
        </w:tc>
      </w:tr>
      <w:tr w:rsidR="00446062" w:rsidRPr="000318CE" w14:paraId="119C95AB"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tcPr>
          <w:p w14:paraId="7F425A3D"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2F8CCD86"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imes New Roman" w:hAnsi="Arial" w:cs="Arial"/>
                <w:color w:val="000000"/>
                <w:sz w:val="24"/>
                <w:szCs w:val="24"/>
                <w:shd w:val="clear" w:color="auto" w:fill="FFFFFF"/>
                <w:lang w:val="ro-RO" w:eastAsia="ro-RO"/>
              </w:rPr>
              <w:t>Vizarea periodică/prelungirea pentru expert tehnic de calitate şi extrajudiciar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47B54ECB"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2BFF8144"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3F268562"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C649" w14:textId="77777777" w:rsidR="00446062" w:rsidRPr="000318CE" w:rsidRDefault="00446062" w:rsidP="00AF7EC3">
            <w:pPr>
              <w:autoSpaceDE w:val="0"/>
              <w:autoSpaceDN w:val="0"/>
              <w:spacing w:after="0" w:line="240" w:lineRule="auto"/>
              <w:ind w:right="72"/>
              <w:jc w:val="both"/>
              <w:rPr>
                <w:rFonts w:ascii="Arial" w:eastAsia="Verdana" w:hAnsi="Arial" w:cs="Arial"/>
                <w:color w:val="000000"/>
                <w:sz w:val="24"/>
                <w:szCs w:val="24"/>
                <w:shd w:val="clear" w:color="auto" w:fill="FFFFFF"/>
                <w:lang w:val="ro-RO" w:eastAsia="ro-RO"/>
              </w:rPr>
            </w:pPr>
            <w:r w:rsidRPr="000318CE">
              <w:rPr>
                <w:rFonts w:ascii="Arial" w:eastAsia="Times New Roman" w:hAnsi="Arial" w:cs="Arial"/>
                <w:color w:val="000000"/>
                <w:sz w:val="24"/>
                <w:szCs w:val="24"/>
                <w:shd w:val="clear" w:color="auto" w:fill="FFFFFF"/>
                <w:lang w:val="ro-RO" w:eastAsia="ro-RO"/>
              </w:rPr>
              <w:t>Emiterea unui duplicat al adeverinței de electrician autorizat/</w:t>
            </w:r>
            <w:r w:rsidRPr="000318CE">
              <w:rPr>
                <w:rFonts w:ascii="Arial" w:eastAsia="Verdana" w:hAnsi="Arial" w:cs="Arial"/>
                <w:color w:val="000000"/>
                <w:sz w:val="24"/>
                <w:szCs w:val="24"/>
                <w:shd w:val="clear" w:color="auto" w:fill="FFFFFF"/>
                <w:lang w:val="ro-RO" w:eastAsia="ro-RO"/>
              </w:rPr>
              <w:t>verificator de proiecte în domeniul instalaţiilor electrice tehnologice/expert tehnic de calitate şi extrajudiciar în domeniul instalaţiilor electrice tehnologice</w:t>
            </w:r>
          </w:p>
          <w:p w14:paraId="47DEB583"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3802"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30</w:t>
            </w:r>
          </w:p>
        </w:tc>
      </w:tr>
    </w:tbl>
    <w:p w14:paraId="040ECDB2"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NOTĂ:</w:t>
      </w:r>
    </w:p>
    <w:p w14:paraId="46F5DDC9"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Tariful prevăzut în tabelul nr. 1:</w:t>
      </w:r>
    </w:p>
    <w:p w14:paraId="614A43BB" w14:textId="77777777" w:rsidR="00446062" w:rsidRPr="000318CE" w:rsidRDefault="00446062" w:rsidP="00446062">
      <w:pPr>
        <w:spacing w:after="0" w:line="240" w:lineRule="auto"/>
        <w:ind w:left="675"/>
        <w:jc w:val="both"/>
        <w:rPr>
          <w:rFonts w:ascii="Arial" w:eastAsia="Verdana" w:hAnsi="Arial" w:cs="Arial"/>
          <w:sz w:val="24"/>
          <w:szCs w:val="24"/>
          <w:lang w:val="ro-RO" w:eastAsia="ro-RO"/>
        </w:rPr>
      </w:pPr>
      <w:r w:rsidRPr="000318CE">
        <w:rPr>
          <w:rFonts w:ascii="Arial" w:eastAsia="Times New Roman" w:hAnsi="Arial" w:cs="Arial"/>
          <w:b/>
          <w:bCs/>
          <w:sz w:val="24"/>
          <w:szCs w:val="24"/>
          <w:shd w:val="clear" w:color="auto" w:fill="FFFFFF"/>
          <w:lang w:val="ro-RO" w:eastAsia="ro-RO"/>
        </w:rPr>
        <w:t xml:space="preserve">a) </w:t>
      </w:r>
      <w:r w:rsidRPr="000318CE">
        <w:rPr>
          <w:rFonts w:ascii="Arial" w:eastAsia="Times New Roman" w:hAnsi="Arial" w:cs="Arial"/>
          <w:sz w:val="24"/>
          <w:szCs w:val="24"/>
          <w:shd w:val="clear" w:color="auto" w:fill="FFFFFF"/>
          <w:lang w:val="ro-RO" w:eastAsia="ro-RO"/>
        </w:rPr>
        <w:t>se achită de solicitant anterior depunerii documentațiilor;</w:t>
      </w:r>
    </w:p>
    <w:p w14:paraId="7915435B" w14:textId="77777777" w:rsidR="00446062" w:rsidRPr="000318CE" w:rsidRDefault="00446062" w:rsidP="00446062">
      <w:pPr>
        <w:spacing w:after="0" w:line="240" w:lineRule="auto"/>
        <w:ind w:left="708"/>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b) nu se restituie solicitantului în cazurile prevazute la art. 47 alin. (3) din Regulamentul pentru autorizarea electricienilor în domeniul instalaţiilor electrice, respectiv a verificatorilor de proiecte şi a experţilor tehnici de calitate şi extrajudiciari în domeniul instalaţiilor electrice tehnologice, aprobat prin Ordinul președintelui Autorității Naționale de Reglementare în Domeniul Energiei nr. 99/2021.</w:t>
      </w:r>
    </w:p>
    <w:p w14:paraId="3FC605E0"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p>
    <w:p w14:paraId="2ADC3A1E" w14:textId="77777777" w:rsidR="00446062" w:rsidRPr="000318CE" w:rsidRDefault="00446062" w:rsidP="00446062">
      <w:pPr>
        <w:autoSpaceDE w:val="0"/>
        <w:autoSpaceDN w:val="0"/>
        <w:spacing w:after="0" w:line="240" w:lineRule="auto"/>
        <w:ind w:left="450"/>
        <w:jc w:val="both"/>
        <w:rPr>
          <w:rFonts w:ascii="Arial" w:eastAsia="Times New Roman" w:hAnsi="Arial" w:cs="Arial"/>
          <w:b/>
          <w:bCs/>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 xml:space="preserve">2. </w:t>
      </w:r>
      <w:r w:rsidRPr="000318CE">
        <w:rPr>
          <w:rFonts w:ascii="Arial" w:eastAsia="Times New Roman" w:hAnsi="Arial" w:cs="Arial"/>
          <w:b/>
          <w:bCs/>
          <w:sz w:val="24"/>
          <w:szCs w:val="24"/>
          <w:shd w:val="clear" w:color="auto" w:fill="FFFFFF"/>
          <w:lang w:val="ro-RO" w:eastAsia="ro-RO"/>
        </w:rPr>
        <w:t>Tariful pentru atestarea verificatorilor de proiecte și experților tehnici în sectorul gazelor naturale și pentru autorizarea persoanelor fizice care desfășoară activități în domeniul gazelor naturale este prevăzut în tabelul nr. 2.</w:t>
      </w:r>
    </w:p>
    <w:p w14:paraId="5DAE5F46" w14:textId="77777777" w:rsidR="00446062" w:rsidRPr="000318CE" w:rsidRDefault="00446062" w:rsidP="00446062">
      <w:pPr>
        <w:autoSpaceDE w:val="0"/>
        <w:autoSpaceDN w:val="0"/>
        <w:spacing w:after="0" w:line="240" w:lineRule="auto"/>
        <w:ind w:left="450"/>
        <w:jc w:val="both"/>
        <w:rPr>
          <w:rFonts w:ascii="Arial" w:eastAsia="Times New Roman" w:hAnsi="Arial" w:cs="Arial"/>
          <w:b/>
          <w:sz w:val="24"/>
          <w:szCs w:val="24"/>
          <w:shd w:val="clear" w:color="auto" w:fill="FFFFFF"/>
          <w:lang w:val="ro-RO" w:eastAsia="ro-RO"/>
        </w:rPr>
      </w:pPr>
    </w:p>
    <w:p w14:paraId="0589DA1F" w14:textId="77777777" w:rsidR="00446062" w:rsidRPr="000318CE" w:rsidRDefault="00446062" w:rsidP="00446062">
      <w:pPr>
        <w:spacing w:after="0" w:line="240" w:lineRule="auto"/>
        <w:ind w:left="810"/>
        <w:contextualSpacing/>
        <w:jc w:val="both"/>
        <w:rPr>
          <w:rFonts w:ascii="Arial" w:hAnsi="Arial" w:cs="Arial"/>
          <w:b/>
          <w:sz w:val="24"/>
          <w:szCs w:val="24"/>
          <w:shd w:val="clear" w:color="auto" w:fill="FFFFFF"/>
          <w:lang w:val="en-GB"/>
        </w:rPr>
      </w:pPr>
      <w:r w:rsidRPr="000318CE">
        <w:rPr>
          <w:rFonts w:ascii="Arial" w:eastAsia="Times New Roman" w:hAnsi="Arial" w:cs="Arial"/>
          <w:sz w:val="24"/>
          <w:szCs w:val="24"/>
          <w:shd w:val="clear" w:color="auto" w:fill="FFFFFF"/>
          <w:lang w:val="en-GB"/>
        </w:rPr>
        <w:t xml:space="preserve">Tabelul nr. 2 - </w:t>
      </w:r>
      <w:bookmarkStart w:id="1" w:name="_Hlk118719522"/>
      <w:r w:rsidRPr="000318CE">
        <w:rPr>
          <w:rFonts w:ascii="Arial" w:eastAsia="Times New Roman" w:hAnsi="Arial" w:cs="Arial"/>
          <w:sz w:val="24"/>
          <w:szCs w:val="24"/>
          <w:shd w:val="clear" w:color="auto" w:fill="FFFFFF"/>
          <w:lang w:val="en-GB"/>
        </w:rPr>
        <w:t>Tariful pentru atestare/autorizare/</w:t>
      </w:r>
      <w:r w:rsidRPr="000318CE">
        <w:rPr>
          <w:rFonts w:ascii="Arial" w:hAnsi="Arial" w:cs="Arial"/>
          <w:b/>
          <w:sz w:val="24"/>
          <w:szCs w:val="24"/>
          <w:shd w:val="clear" w:color="auto" w:fill="FFFFFF"/>
          <w:lang w:val="en-GB"/>
        </w:rPr>
        <w:t>vizare/</w:t>
      </w:r>
      <w:r w:rsidRPr="000318CE">
        <w:rPr>
          <w:rFonts w:ascii="Arial" w:eastAsia="Times New Roman" w:hAnsi="Arial" w:cs="Arial"/>
          <w:sz w:val="24"/>
          <w:szCs w:val="24"/>
          <w:shd w:val="clear" w:color="auto" w:fill="FFFFFF"/>
          <w:lang w:val="en-GB"/>
        </w:rPr>
        <w:t>prelungire legitimații/certificate de atestare persoane fizice</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9"/>
        <w:gridCol w:w="7310"/>
        <w:gridCol w:w="985"/>
      </w:tblGrid>
      <w:tr w:rsidR="00446062" w:rsidRPr="000318CE" w14:paraId="728F954A"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14819B00"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0A45"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Tipul atestării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AC68B"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Tariful (lei)</w:t>
            </w:r>
          </w:p>
        </w:tc>
      </w:tr>
      <w:tr w:rsidR="00446062" w:rsidRPr="000318CE" w14:paraId="462A7639"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095F2D1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E8AD"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Verificatori de proiecte</w:t>
            </w:r>
            <w:r w:rsidRPr="000318CE">
              <w:rPr>
                <w:rFonts w:ascii="Arial" w:eastAsia="Times New Roman" w:hAnsi="Arial" w:cs="Arial"/>
                <w:color w:val="000000"/>
                <w:sz w:val="24"/>
                <w:szCs w:val="24"/>
                <w:lang w:val="ro-RO" w:eastAsia="ro-RO"/>
              </w:rPr>
              <w:t xml:space="preserve">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0638"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350</w:t>
            </w:r>
          </w:p>
        </w:tc>
      </w:tr>
      <w:tr w:rsidR="00446062" w:rsidRPr="000318CE" w14:paraId="7B5A95B7"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6606477D"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17E00"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Prelungirea dreptului de practică a verificatorilor de proiecte, fiecare tip</w:t>
            </w:r>
            <w:r w:rsidRPr="000318CE">
              <w:rPr>
                <w:rFonts w:ascii="Arial" w:eastAsia="Times New Roman" w:hAnsi="Arial" w:cs="Arial"/>
                <w:color w:val="000000"/>
                <w:sz w:val="24"/>
                <w:szCs w:val="24"/>
                <w:lang w:val="ro-RO" w:eastAsia="ro-RO"/>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7594"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175</w:t>
            </w:r>
          </w:p>
        </w:tc>
      </w:tr>
      <w:tr w:rsidR="00446062" w:rsidRPr="000318CE" w14:paraId="214DD5B5"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5D2E7D59"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BA083"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Experți tehnici</w:t>
            </w:r>
            <w:r w:rsidRPr="000318CE">
              <w:rPr>
                <w:rFonts w:ascii="Arial" w:eastAsia="Times New Roman" w:hAnsi="Arial" w:cs="Arial"/>
                <w:color w:val="000000"/>
                <w:sz w:val="24"/>
                <w:szCs w:val="24"/>
                <w:lang w:val="ro-RO" w:eastAsia="ro-RO"/>
              </w:rPr>
              <w:t>,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B1FC"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500</w:t>
            </w:r>
          </w:p>
        </w:tc>
      </w:tr>
      <w:tr w:rsidR="00446062" w:rsidRPr="000318CE" w14:paraId="4AB64CAE"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20C4D55"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81C7"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Prelungirea dreptului de practică a experților tehnici, fiecare tip</w:t>
            </w:r>
            <w:r w:rsidRPr="000318CE">
              <w:rPr>
                <w:rFonts w:ascii="Arial" w:eastAsia="Times New Roman" w:hAnsi="Arial" w:cs="Arial"/>
                <w:color w:val="000000"/>
                <w:sz w:val="24"/>
                <w:szCs w:val="24"/>
                <w:lang w:val="ro-RO" w:eastAsia="ro-RO"/>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AF93"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5311F47C"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EA8847B"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F3149"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Instalatori autorizați</w:t>
            </w:r>
            <w:r w:rsidRPr="000318CE">
              <w:rPr>
                <w:rFonts w:ascii="Arial" w:eastAsia="Times New Roman" w:hAnsi="Arial" w:cs="Arial"/>
                <w:color w:val="000000"/>
                <w:sz w:val="24"/>
                <w:szCs w:val="24"/>
                <w:lang w:val="ro-RO" w:eastAsia="ro-RO"/>
              </w:rPr>
              <w:t>,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85C0"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250</w:t>
            </w:r>
          </w:p>
        </w:tc>
      </w:tr>
      <w:tr w:rsidR="00446062" w:rsidRPr="000318CE" w14:paraId="08D51A0A"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72DD1BCD"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70C0"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imes New Roman" w:hAnsi="Arial" w:cs="Arial"/>
                <w:color w:val="000000"/>
                <w:sz w:val="24"/>
                <w:szCs w:val="24"/>
                <w:lang w:val="ro-RO" w:eastAsia="ro-RO"/>
              </w:rPr>
              <w:t>Prelungirea/vizarea pentru fiecare 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312C"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125</w:t>
            </w:r>
          </w:p>
        </w:tc>
      </w:tr>
      <w:tr w:rsidR="00446062" w:rsidRPr="000318CE" w14:paraId="781C2B85"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725495D2"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48F3A" w14:textId="77777777" w:rsidR="00446062" w:rsidRPr="000318CE" w:rsidRDefault="00446062" w:rsidP="00AF7EC3">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Eliberarea unui duplicat al certificatului de atestare a verificatorilor de proiecte/ experților tehnici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7A4F" w14:textId="77777777" w:rsidR="00446062" w:rsidRPr="000318CE" w:rsidRDefault="00446062" w:rsidP="00AF7EC3">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30</w:t>
            </w:r>
          </w:p>
        </w:tc>
      </w:tr>
    </w:tbl>
    <w:bookmarkEnd w:id="1"/>
    <w:p w14:paraId="6BBE9336" w14:textId="77777777" w:rsidR="00446062" w:rsidRPr="000318CE" w:rsidRDefault="00446062" w:rsidP="00446062">
      <w:pPr>
        <w:spacing w:after="0" w:line="240" w:lineRule="auto"/>
        <w:ind w:left="867" w:firstLine="33"/>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NOTĂ:</w:t>
      </w:r>
    </w:p>
    <w:p w14:paraId="09226F3D"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Tariful prevăzut în tabelul nr. 2:</w:t>
      </w:r>
    </w:p>
    <w:p w14:paraId="09122AF0" w14:textId="77777777" w:rsidR="00446062" w:rsidRPr="000318CE" w:rsidRDefault="00446062" w:rsidP="00446062">
      <w:pPr>
        <w:spacing w:after="0" w:line="240" w:lineRule="auto"/>
        <w:ind w:left="675"/>
        <w:jc w:val="both"/>
        <w:rPr>
          <w:rFonts w:ascii="Arial" w:eastAsia="Verdana" w:hAnsi="Arial" w:cs="Arial"/>
          <w:sz w:val="24"/>
          <w:szCs w:val="24"/>
          <w:lang w:val="ro-RO" w:eastAsia="ro-RO"/>
        </w:rPr>
      </w:pPr>
      <w:r w:rsidRPr="000318CE">
        <w:rPr>
          <w:rFonts w:ascii="Arial" w:eastAsia="Times New Roman" w:hAnsi="Arial" w:cs="Arial"/>
          <w:b/>
          <w:bCs/>
          <w:sz w:val="24"/>
          <w:szCs w:val="24"/>
          <w:shd w:val="clear" w:color="auto" w:fill="FFFFFF"/>
          <w:lang w:val="ro-RO" w:eastAsia="ro-RO"/>
        </w:rPr>
        <w:t xml:space="preserve">a) </w:t>
      </w:r>
      <w:r w:rsidRPr="000318CE">
        <w:rPr>
          <w:rFonts w:ascii="Arial" w:eastAsia="Times New Roman" w:hAnsi="Arial" w:cs="Arial"/>
          <w:sz w:val="24"/>
          <w:szCs w:val="24"/>
          <w:shd w:val="clear" w:color="auto" w:fill="FFFFFF"/>
          <w:lang w:val="ro-RO" w:eastAsia="ro-RO"/>
        </w:rPr>
        <w:t>se achită de solicitant anterior depunerii documentațiilor;</w:t>
      </w:r>
    </w:p>
    <w:p w14:paraId="1906005F"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 xml:space="preserve">b) </w:t>
      </w:r>
      <w:r w:rsidRPr="000318CE">
        <w:rPr>
          <w:rFonts w:ascii="Arial" w:eastAsia="Times New Roman" w:hAnsi="Arial" w:cs="Arial"/>
          <w:sz w:val="24"/>
          <w:szCs w:val="24"/>
          <w:shd w:val="clear" w:color="auto" w:fill="FFFFFF"/>
          <w:lang w:val="ro-RO" w:eastAsia="ro-RO"/>
        </w:rPr>
        <w:t>nu se înapoiază solicitantului în cazul retragerii cererii de autorizare/atestării, al clasării documentației, precum și al neacordării autorizației/atestatului.</w:t>
      </w:r>
    </w:p>
    <w:p w14:paraId="1649056B"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p>
    <w:p w14:paraId="0A61A999" w14:textId="77777777" w:rsidR="00446062" w:rsidRPr="000318CE" w:rsidRDefault="00446062" w:rsidP="00446062">
      <w:pPr>
        <w:spacing w:after="0" w:line="240" w:lineRule="auto"/>
        <w:ind w:left="675"/>
        <w:jc w:val="both"/>
        <w:rPr>
          <w:rFonts w:ascii="Arial" w:eastAsia="Times New Roman" w:hAnsi="Arial" w:cs="Arial"/>
          <w:sz w:val="24"/>
          <w:szCs w:val="24"/>
          <w:shd w:val="clear" w:color="auto" w:fill="FFFFFF"/>
          <w:lang w:val="ro-RO" w:eastAsia="ro-RO"/>
        </w:rPr>
      </w:pPr>
    </w:p>
    <w:sectPr w:rsidR="00446062" w:rsidRPr="0003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C00C6"/>
    <w:multiLevelType w:val="hybridMultilevel"/>
    <w:tmpl w:val="2EE803F4"/>
    <w:lvl w:ilvl="0" w:tplc="3872CD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EB11BE9"/>
    <w:multiLevelType w:val="hybridMultilevel"/>
    <w:tmpl w:val="EC82BF58"/>
    <w:lvl w:ilvl="0" w:tplc="87D6BD7C">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 w15:restartNumberingAfterBreak="0">
    <w:nsid w:val="6DBA381B"/>
    <w:multiLevelType w:val="hybridMultilevel"/>
    <w:tmpl w:val="E2AEC698"/>
    <w:lvl w:ilvl="0" w:tplc="189C5A8A">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num w:numId="1" w16cid:durableId="1600018505">
    <w:abstractNumId w:val="0"/>
  </w:num>
  <w:num w:numId="2" w16cid:durableId="648098165">
    <w:abstractNumId w:val="2"/>
  </w:num>
  <w:num w:numId="3" w16cid:durableId="63144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62"/>
    <w:rsid w:val="000D76ED"/>
    <w:rsid w:val="002756E2"/>
    <w:rsid w:val="002C2B71"/>
    <w:rsid w:val="00446062"/>
    <w:rsid w:val="007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6175"/>
  <w15:chartTrackingRefBased/>
  <w15:docId w15:val="{F78723BD-6273-4ABF-8A17-F7AC494F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Dadu</dc:creator>
  <cp:keywords/>
  <dc:description/>
  <cp:lastModifiedBy>Gina Dadu</cp:lastModifiedBy>
  <cp:revision>2</cp:revision>
  <dcterms:created xsi:type="dcterms:W3CDTF">2022-11-07T11:12:00Z</dcterms:created>
  <dcterms:modified xsi:type="dcterms:W3CDTF">2022-11-07T11:21:00Z</dcterms:modified>
</cp:coreProperties>
</file>